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2EE7" w14:textId="77777777" w:rsidR="00764FF2" w:rsidRDefault="00245034">
      <w:pPr>
        <w:pStyle w:val="Title"/>
        <w:jc w:val="center"/>
        <w:rPr>
          <w:color w:val="1D4B74"/>
          <w:sz w:val="36"/>
          <w:szCs w:val="36"/>
        </w:rPr>
      </w:pPr>
      <w:bookmarkStart w:id="0" w:name="_zdqxs3b2brhk" w:colFirst="0" w:colLast="0"/>
      <w:bookmarkEnd w:id="0"/>
      <w:r>
        <w:rPr>
          <w:color w:val="1D4B74"/>
          <w:sz w:val="36"/>
          <w:szCs w:val="36"/>
        </w:rPr>
        <w:t>DEI in Curriculum: Model Principles and Practices</w:t>
      </w:r>
    </w:p>
    <w:p w14:paraId="01FB1C27" w14:textId="0F607C0B" w:rsidR="00764FF2" w:rsidRDefault="00245034">
      <w:pPr>
        <w:pStyle w:val="Heading1"/>
        <w:rPr>
          <w:color w:val="1D4B74"/>
          <w:sz w:val="24"/>
          <w:szCs w:val="24"/>
        </w:rPr>
      </w:pPr>
      <w:bookmarkStart w:id="1" w:name="_xb4ovlfw8kwq" w:colFirst="0" w:colLast="0"/>
      <w:bookmarkEnd w:id="1"/>
      <w:r>
        <w:rPr>
          <w:color w:val="1D4B74"/>
          <w:sz w:val="24"/>
          <w:szCs w:val="24"/>
        </w:rPr>
        <w:t xml:space="preserve">Background and </w:t>
      </w:r>
      <w:r w:rsidR="00EB6C5A">
        <w:rPr>
          <w:color w:val="1D4B74"/>
          <w:sz w:val="24"/>
          <w:szCs w:val="24"/>
        </w:rPr>
        <w:t>Groundwork</w:t>
      </w:r>
    </w:p>
    <w:p w14:paraId="052855AD" w14:textId="213F5E3D" w:rsidR="00764FF2" w:rsidRDefault="00245034">
      <w:r>
        <w:t>The California Community C</w:t>
      </w:r>
      <w:r w:rsidR="00AE062F">
        <w:t>ollege Curriculum Committee (5C</w:t>
      </w:r>
      <w:r>
        <w:t xml:space="preserve">) in 2020 created a set of </w:t>
      </w:r>
      <w:r w:rsidR="00EB6C5A">
        <w:t xml:space="preserve">recommended </w:t>
      </w:r>
      <w:r>
        <w:t>priorities that focuse</w:t>
      </w:r>
      <w:r w:rsidR="00EB6C5A">
        <w:t>s</w:t>
      </w:r>
      <w:r>
        <w:t xml:space="preserve"> on championing equity-minded curriculum and practices for credit and noncredit instruction. The committee created a workgroup in fall of 2021</w:t>
      </w:r>
      <w:r w:rsidR="00514511">
        <w:t>,</w:t>
      </w:r>
      <w:r>
        <w:t xml:space="preserve"> charged with developing guidance for the field and recommendations on how to support the implementation of culturally relevant and responsive curriculum at local levels. This workgroup, called DEI (diversity, equity, and inclusion) in Curriculum, created the chart below with promising practices for both discipline/teaching faculty and </w:t>
      </w:r>
      <w:r w:rsidR="00514511">
        <w:t xml:space="preserve">for </w:t>
      </w:r>
      <w:r>
        <w:t>curriculum committees and local academic senates.</w:t>
      </w:r>
    </w:p>
    <w:p w14:paraId="776B8537" w14:textId="77777777" w:rsidR="00764FF2" w:rsidRDefault="00245034">
      <w:pPr>
        <w:pStyle w:val="Heading1"/>
        <w:rPr>
          <w:color w:val="1D4B74"/>
          <w:sz w:val="24"/>
          <w:szCs w:val="24"/>
        </w:rPr>
      </w:pPr>
      <w:bookmarkStart w:id="2" w:name="_iqak5yqlymqn" w:colFirst="0" w:colLast="0"/>
      <w:bookmarkEnd w:id="2"/>
      <w:r>
        <w:rPr>
          <w:color w:val="1D4B74"/>
          <w:sz w:val="24"/>
          <w:szCs w:val="24"/>
        </w:rPr>
        <w:t>Who Is the Audience for These Recommendations?</w:t>
      </w:r>
    </w:p>
    <w:p w14:paraId="72E29819" w14:textId="77777777" w:rsidR="00764FF2" w:rsidRDefault="00245034">
      <w:r>
        <w:t xml:space="preserve">Discipline/instructional faculty, curriculum committees, and local academic senates have the shared responsibility to ensure that curriculum review committee members and discipline experts work together to provide DEI frameworks and principles in curriculum review and approval processes for credit and noncredit. Administrators and classified professionals who support the curriculum process at local levels also contribute to supporting equity-minded practices. </w:t>
      </w:r>
    </w:p>
    <w:p w14:paraId="79F1E081" w14:textId="77777777" w:rsidR="00764FF2" w:rsidRDefault="00245034">
      <w:pPr>
        <w:pStyle w:val="Heading1"/>
        <w:rPr>
          <w:color w:val="1D4B74"/>
          <w:sz w:val="24"/>
          <w:szCs w:val="24"/>
        </w:rPr>
      </w:pPr>
      <w:bookmarkStart w:id="3" w:name="_hdq7elxuqzfm" w:colFirst="0" w:colLast="0"/>
      <w:bookmarkEnd w:id="3"/>
      <w:r>
        <w:rPr>
          <w:color w:val="1D4B74"/>
          <w:sz w:val="24"/>
          <w:szCs w:val="24"/>
        </w:rPr>
        <w:t>How Do I Use This Chart?</w:t>
      </w:r>
    </w:p>
    <w:p w14:paraId="4F3EA495" w14:textId="5B3FA219" w:rsidR="00764FF2" w:rsidRDefault="00245034">
      <w:r>
        <w:t xml:space="preserve">The chart below provides promising practices that can be used by faculty, deans, curriculum chairs and committees, </w:t>
      </w:r>
      <w:r w:rsidR="008C7EF8">
        <w:t xml:space="preserve">Chief Instructional Officers (CIO)/Vice Presidents of Instruction, </w:t>
      </w:r>
      <w:r>
        <w:t xml:space="preserve">and local academic senates to begin conversations on how to redesign practices from working </w:t>
      </w:r>
      <w:r w:rsidR="00514511">
        <w:t>within</w:t>
      </w:r>
      <w:r>
        <w:t xml:space="preserve"> a traditional Eurocentric model to </w:t>
      </w:r>
      <w:r w:rsidR="00514511">
        <w:t xml:space="preserve">working within </w:t>
      </w:r>
      <w:r>
        <w:t xml:space="preserve">an equity-minded framework. Although there may be challenging conversations in beginning transformative work, addressing the </w:t>
      </w:r>
      <w:proofErr w:type="gramStart"/>
      <w:r>
        <w:t>fear</w:t>
      </w:r>
      <w:proofErr w:type="gramEnd"/>
      <w:r>
        <w:t xml:space="preserve"> and leaning into the dissonance has the opportunity to become a cacophony of discord that can create rhapsody and </w:t>
      </w:r>
      <w:r w:rsidR="00213D2C">
        <w:t>beautiful new sounds and thoughts</w:t>
      </w:r>
      <w:r>
        <w:t xml:space="preserve">. In other words, the emotion and push back may be uncomfortable but it may also yield new ideas and ways to support our diverse student population in more innovative and representative ways, which is the charge of the California Community Colleges. </w:t>
      </w:r>
    </w:p>
    <w:p w14:paraId="313CBB60" w14:textId="77777777" w:rsidR="00764FF2" w:rsidRDefault="00764FF2"/>
    <w:p w14:paraId="01ED2426" w14:textId="0FA9BE36" w:rsidR="00764FF2" w:rsidRDefault="00245034">
      <w:r>
        <w:t xml:space="preserve">The first column provides some of the traditional ways of thinking of </w:t>
      </w:r>
      <w:r w:rsidR="00213D2C">
        <w:t xml:space="preserve">the curriculum </w:t>
      </w:r>
      <w:r>
        <w:t xml:space="preserve">elements </w:t>
      </w:r>
      <w:r w:rsidR="00213D2C">
        <w:t xml:space="preserve">and </w:t>
      </w:r>
      <w:r>
        <w:t>is juxtaposed by the second column that shows equity-minded principles.</w:t>
      </w:r>
    </w:p>
    <w:p w14:paraId="01908A38" w14:textId="77777777" w:rsidR="00764FF2" w:rsidRDefault="00764FF2"/>
    <w:p w14:paraId="2113339B" w14:textId="0FE2E3E9" w:rsidR="00764FF2" w:rsidRDefault="00245034">
      <w:r>
        <w:lastRenderedPageBreak/>
        <w:t xml:space="preserve">The third column provides promising practices that faculty can begin implementing at the classroom level, and the fourth column shows ways that local curriculum committees and academic senates may support equity </w:t>
      </w:r>
      <w:r w:rsidR="00213D2C">
        <w:t xml:space="preserve">work </w:t>
      </w:r>
      <w:r>
        <w:t>in reviewing credit and noncredit curriculum, course outlines of record, and curriculum documents and process</w:t>
      </w:r>
      <w:r w:rsidR="00352B72">
        <w:t>es</w:t>
      </w:r>
      <w:r>
        <w:t xml:space="preserve"> in the classroom and beyond in culturally responsive ways.</w:t>
      </w:r>
    </w:p>
    <w:p w14:paraId="78AF80B0" w14:textId="77777777" w:rsidR="00764FF2" w:rsidRDefault="00764FF2"/>
    <w:p w14:paraId="7FE8E69E" w14:textId="32FF8E17" w:rsidR="00764FF2" w:rsidRPr="00D00BD1" w:rsidRDefault="00D00BD1">
      <w:r w:rsidRPr="00D00BD1">
        <w:t>The chart is not exhaustive and is not intended to be a mandate but rather a model and tool of transformative principles to frame curriculum development and classroom practices at local levels. The document ends with a brief glossary of terms and the resources from culturally responsive theorists and scholars used in the development of this tool.</w:t>
      </w:r>
    </w:p>
    <w:p w14:paraId="24E43B9A" w14:textId="77777777" w:rsidR="00764FF2" w:rsidRDefault="00764FF2">
      <w:pPr>
        <w:rPr>
          <w:b/>
        </w:rPr>
      </w:pPr>
    </w:p>
    <w:tbl>
      <w:tblPr>
        <w:tblStyle w:val="a"/>
        <w:tblW w:w="13965"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535"/>
        <w:gridCol w:w="4350"/>
        <w:gridCol w:w="4590"/>
      </w:tblGrid>
      <w:tr w:rsidR="00764FF2" w14:paraId="5D77DD33" w14:textId="77777777" w:rsidTr="006102A5">
        <w:trPr>
          <w:trHeight w:val="1080"/>
          <w:tblHeader/>
        </w:trPr>
        <w:tc>
          <w:tcPr>
            <w:tcW w:w="2490" w:type="dxa"/>
            <w:shd w:val="clear" w:color="auto" w:fill="D9D9D9"/>
            <w:tcMar>
              <w:top w:w="100" w:type="dxa"/>
              <w:left w:w="100" w:type="dxa"/>
              <w:bottom w:w="100" w:type="dxa"/>
              <w:right w:w="100" w:type="dxa"/>
            </w:tcMar>
            <w:vAlign w:val="center"/>
          </w:tcPr>
          <w:p w14:paraId="62CF54B1" w14:textId="77777777" w:rsidR="00764FF2" w:rsidRDefault="00764FF2"/>
          <w:p w14:paraId="4353F819" w14:textId="77777777" w:rsidR="00764FF2" w:rsidRDefault="00245034">
            <w:pPr>
              <w:widowControl w:val="0"/>
              <w:pBdr>
                <w:top w:val="nil"/>
                <w:left w:val="nil"/>
                <w:bottom w:val="nil"/>
                <w:right w:val="nil"/>
                <w:between w:val="nil"/>
              </w:pBdr>
              <w:spacing w:line="240" w:lineRule="auto"/>
              <w:rPr>
                <w:b/>
                <w:sz w:val="26"/>
                <w:szCs w:val="26"/>
              </w:rPr>
            </w:pPr>
            <w:r>
              <w:rPr>
                <w:b/>
                <w:sz w:val="26"/>
                <w:szCs w:val="26"/>
              </w:rPr>
              <w:t>Traditional Eurocentric Practice</w:t>
            </w:r>
          </w:p>
          <w:p w14:paraId="46F0EAA9" w14:textId="30701CDA" w:rsidR="000F746A" w:rsidRPr="008F31BF" w:rsidRDefault="009D3405">
            <w:pPr>
              <w:widowControl w:val="0"/>
              <w:pBdr>
                <w:top w:val="nil"/>
                <w:left w:val="nil"/>
                <w:bottom w:val="nil"/>
                <w:right w:val="nil"/>
                <w:between w:val="nil"/>
              </w:pBdr>
              <w:spacing w:line="240" w:lineRule="auto"/>
              <w:rPr>
                <w:bCs/>
                <w:sz w:val="18"/>
                <w:szCs w:val="18"/>
              </w:rPr>
            </w:pPr>
            <w:r>
              <w:rPr>
                <w:bCs/>
                <w:sz w:val="18"/>
                <w:szCs w:val="18"/>
              </w:rPr>
              <w:t>Supporting research may be found at the end of th</w:t>
            </w:r>
            <w:r w:rsidR="00EC2E90">
              <w:rPr>
                <w:bCs/>
                <w:sz w:val="18"/>
                <w:szCs w:val="18"/>
              </w:rPr>
              <w:t xml:space="preserve">is document. </w:t>
            </w:r>
          </w:p>
        </w:tc>
        <w:tc>
          <w:tcPr>
            <w:tcW w:w="2535" w:type="dxa"/>
            <w:shd w:val="clear" w:color="auto" w:fill="FFE599"/>
            <w:tcMar>
              <w:top w:w="100" w:type="dxa"/>
              <w:left w:w="100" w:type="dxa"/>
              <w:bottom w:w="100" w:type="dxa"/>
              <w:right w:w="100" w:type="dxa"/>
            </w:tcMar>
            <w:vAlign w:val="center"/>
          </w:tcPr>
          <w:p w14:paraId="4ABE4679" w14:textId="77777777" w:rsidR="00764FF2" w:rsidRDefault="00245034">
            <w:pPr>
              <w:widowControl w:val="0"/>
              <w:spacing w:line="240" w:lineRule="auto"/>
              <w:rPr>
                <w:b/>
                <w:sz w:val="26"/>
                <w:szCs w:val="26"/>
              </w:rPr>
            </w:pPr>
            <w:r>
              <w:rPr>
                <w:b/>
                <w:sz w:val="26"/>
                <w:szCs w:val="26"/>
              </w:rPr>
              <w:t>Equity Principle</w:t>
            </w:r>
          </w:p>
          <w:p w14:paraId="23671F80" w14:textId="00A26AA0" w:rsidR="00180ADA" w:rsidRDefault="00180ADA">
            <w:pPr>
              <w:widowControl w:val="0"/>
              <w:spacing w:line="240" w:lineRule="auto"/>
              <w:rPr>
                <w:b/>
                <w:sz w:val="26"/>
                <w:szCs w:val="26"/>
              </w:rPr>
            </w:pPr>
            <w:r>
              <w:rPr>
                <w:bCs/>
                <w:sz w:val="18"/>
                <w:szCs w:val="18"/>
              </w:rPr>
              <w:t>Supporting research may be found at the end of this document.</w:t>
            </w:r>
          </w:p>
        </w:tc>
        <w:tc>
          <w:tcPr>
            <w:tcW w:w="4350" w:type="dxa"/>
            <w:shd w:val="clear" w:color="auto" w:fill="E69138"/>
            <w:tcMar>
              <w:top w:w="100" w:type="dxa"/>
              <w:left w:w="100" w:type="dxa"/>
              <w:bottom w:w="100" w:type="dxa"/>
              <w:right w:w="100" w:type="dxa"/>
            </w:tcMar>
            <w:vAlign w:val="center"/>
          </w:tcPr>
          <w:p w14:paraId="46303DA1" w14:textId="77777777" w:rsidR="00764FF2" w:rsidRDefault="00245034">
            <w:pPr>
              <w:widowControl w:val="0"/>
              <w:pBdr>
                <w:top w:val="nil"/>
                <w:left w:val="nil"/>
                <w:bottom w:val="nil"/>
                <w:right w:val="nil"/>
                <w:between w:val="nil"/>
              </w:pBdr>
              <w:spacing w:line="240" w:lineRule="auto"/>
            </w:pPr>
            <w:r>
              <w:rPr>
                <w:b/>
                <w:sz w:val="26"/>
                <w:szCs w:val="26"/>
              </w:rPr>
              <w:t>Culturally Responsive Classroom Practices</w:t>
            </w:r>
          </w:p>
          <w:p w14:paraId="43B911F2" w14:textId="37B4CBFB" w:rsidR="00764FF2" w:rsidRDefault="00245034">
            <w:pPr>
              <w:widowControl w:val="0"/>
              <w:pBdr>
                <w:top w:val="nil"/>
                <w:left w:val="nil"/>
                <w:bottom w:val="nil"/>
                <w:right w:val="nil"/>
                <w:between w:val="nil"/>
              </w:pBdr>
              <w:spacing w:line="240" w:lineRule="auto"/>
              <w:rPr>
                <w:b/>
                <w:sz w:val="18"/>
                <w:szCs w:val="18"/>
              </w:rPr>
            </w:pPr>
            <w:r>
              <w:rPr>
                <w:sz w:val="18"/>
                <w:szCs w:val="18"/>
              </w:rPr>
              <w:t xml:space="preserve">All faculty </w:t>
            </w:r>
            <w:proofErr w:type="gramStart"/>
            <w:r>
              <w:rPr>
                <w:sz w:val="18"/>
                <w:szCs w:val="18"/>
              </w:rPr>
              <w:t>have the opportunity to</w:t>
            </w:r>
            <w:proofErr w:type="gramEnd"/>
            <w:r>
              <w:rPr>
                <w:sz w:val="18"/>
                <w:szCs w:val="18"/>
              </w:rPr>
              <w:t xml:space="preserve"> engage in conversations about equity-minded practices within the context of their disciplinary expertise and curricular practices and such practices may include but </w:t>
            </w:r>
            <w:r w:rsidR="00963739">
              <w:rPr>
                <w:sz w:val="18"/>
                <w:szCs w:val="18"/>
              </w:rPr>
              <w:t>are</w:t>
            </w:r>
            <w:r>
              <w:rPr>
                <w:sz w:val="18"/>
                <w:szCs w:val="18"/>
              </w:rPr>
              <w:t xml:space="preserve"> not limited to the following:</w:t>
            </w:r>
          </w:p>
        </w:tc>
        <w:tc>
          <w:tcPr>
            <w:tcW w:w="4590" w:type="dxa"/>
            <w:shd w:val="clear" w:color="auto" w:fill="E69138"/>
            <w:tcMar>
              <w:top w:w="100" w:type="dxa"/>
              <w:left w:w="100" w:type="dxa"/>
              <w:bottom w:w="100" w:type="dxa"/>
              <w:right w:w="100" w:type="dxa"/>
            </w:tcMar>
            <w:vAlign w:val="center"/>
          </w:tcPr>
          <w:p w14:paraId="2DF23D31" w14:textId="77777777" w:rsidR="00764FF2" w:rsidRDefault="00245034">
            <w:pPr>
              <w:widowControl w:val="0"/>
              <w:pBdr>
                <w:top w:val="nil"/>
                <w:left w:val="nil"/>
                <w:bottom w:val="nil"/>
                <w:right w:val="nil"/>
                <w:between w:val="nil"/>
              </w:pBdr>
              <w:spacing w:line="240" w:lineRule="auto"/>
            </w:pPr>
            <w:r>
              <w:rPr>
                <w:b/>
                <w:sz w:val="26"/>
                <w:szCs w:val="26"/>
              </w:rPr>
              <w:t>Culturally Responsive Practices for Curriculum Committees and Local Senates</w:t>
            </w:r>
          </w:p>
          <w:p w14:paraId="41225731" w14:textId="268BCE18" w:rsidR="00764FF2" w:rsidRDefault="00245034">
            <w:pPr>
              <w:widowControl w:val="0"/>
              <w:pBdr>
                <w:top w:val="nil"/>
                <w:left w:val="nil"/>
                <w:bottom w:val="nil"/>
                <w:right w:val="nil"/>
                <w:between w:val="nil"/>
              </w:pBdr>
              <w:spacing w:line="240" w:lineRule="auto"/>
              <w:rPr>
                <w:b/>
                <w:sz w:val="18"/>
                <w:szCs w:val="18"/>
              </w:rPr>
            </w:pPr>
            <w:r>
              <w:rPr>
                <w:sz w:val="18"/>
                <w:szCs w:val="18"/>
              </w:rPr>
              <w:t xml:space="preserve">Curriculum committees and senates </w:t>
            </w:r>
            <w:proofErr w:type="gramStart"/>
            <w:r>
              <w:rPr>
                <w:sz w:val="18"/>
                <w:szCs w:val="18"/>
              </w:rPr>
              <w:t>have the opportunity to</w:t>
            </w:r>
            <w:proofErr w:type="gramEnd"/>
            <w:r>
              <w:rPr>
                <w:sz w:val="18"/>
                <w:szCs w:val="18"/>
              </w:rPr>
              <w:t xml:space="preserve"> engage in equity-minded review processes of curriculum that may include but </w:t>
            </w:r>
            <w:r w:rsidR="00963739">
              <w:rPr>
                <w:sz w:val="18"/>
                <w:szCs w:val="18"/>
              </w:rPr>
              <w:t>are</w:t>
            </w:r>
            <w:r>
              <w:rPr>
                <w:sz w:val="18"/>
                <w:szCs w:val="18"/>
              </w:rPr>
              <w:t xml:space="preserve"> not limited to the following: </w:t>
            </w:r>
          </w:p>
        </w:tc>
      </w:tr>
      <w:tr w:rsidR="00764FF2" w14:paraId="6310F017" w14:textId="77777777">
        <w:trPr>
          <w:trHeight w:val="1080"/>
        </w:trPr>
        <w:tc>
          <w:tcPr>
            <w:tcW w:w="2490" w:type="dxa"/>
            <w:shd w:val="clear" w:color="auto" w:fill="auto"/>
            <w:tcMar>
              <w:top w:w="100" w:type="dxa"/>
              <w:left w:w="100" w:type="dxa"/>
              <w:bottom w:w="100" w:type="dxa"/>
              <w:right w:w="100" w:type="dxa"/>
            </w:tcMar>
          </w:tcPr>
          <w:p w14:paraId="5A6DC4AB" w14:textId="42844698" w:rsidR="00764FF2" w:rsidRPr="00D00BD1" w:rsidRDefault="00245034">
            <w:pPr>
              <w:widowControl w:val="0"/>
              <w:numPr>
                <w:ilvl w:val="0"/>
                <w:numId w:val="6"/>
              </w:numPr>
              <w:spacing w:line="240" w:lineRule="auto"/>
              <w:ind w:left="270" w:hanging="270"/>
              <w:rPr>
                <w:highlight w:val="white"/>
              </w:rPr>
            </w:pPr>
            <w:r>
              <w:rPr>
                <w:highlight w:val="white"/>
              </w:rPr>
              <w:t>One dominant culture represented in textbooks</w:t>
            </w:r>
            <w:r w:rsidR="00D00BD1">
              <w:rPr>
                <w:highlight w:val="white"/>
              </w:rPr>
              <w:t xml:space="preserve"> </w:t>
            </w:r>
            <w:r w:rsidR="00D00BD1" w:rsidRPr="00D00BD1">
              <w:rPr>
                <w:highlight w:val="white"/>
              </w:rPr>
              <w:t>and course materials</w:t>
            </w:r>
          </w:p>
          <w:p w14:paraId="401EB77A" w14:textId="77777777" w:rsidR="00764FF2" w:rsidRDefault="00245034">
            <w:pPr>
              <w:widowControl w:val="0"/>
              <w:numPr>
                <w:ilvl w:val="0"/>
                <w:numId w:val="6"/>
              </w:numPr>
              <w:spacing w:line="240" w:lineRule="auto"/>
              <w:ind w:left="270" w:hanging="270"/>
              <w:rPr>
                <w:highlight w:val="white"/>
              </w:rPr>
            </w:pPr>
            <w:r>
              <w:rPr>
                <w:highlight w:val="white"/>
              </w:rPr>
              <w:t>High cost of course textbooks and materials</w:t>
            </w:r>
          </w:p>
          <w:p w14:paraId="7571979D" w14:textId="77777777" w:rsidR="00764FF2" w:rsidRDefault="00764FF2">
            <w:pPr>
              <w:widowControl w:val="0"/>
              <w:spacing w:line="240" w:lineRule="auto"/>
              <w:rPr>
                <w:highlight w:val="white"/>
              </w:rPr>
            </w:pPr>
          </w:p>
        </w:tc>
        <w:tc>
          <w:tcPr>
            <w:tcW w:w="2535" w:type="dxa"/>
            <w:shd w:val="clear" w:color="auto" w:fill="auto"/>
            <w:tcMar>
              <w:top w:w="100" w:type="dxa"/>
              <w:left w:w="100" w:type="dxa"/>
              <w:bottom w:w="100" w:type="dxa"/>
              <w:right w:w="100" w:type="dxa"/>
            </w:tcMar>
          </w:tcPr>
          <w:p w14:paraId="21D24923" w14:textId="0F15EE03" w:rsidR="00764FF2" w:rsidRDefault="00245034">
            <w:pPr>
              <w:widowControl w:val="0"/>
              <w:numPr>
                <w:ilvl w:val="0"/>
                <w:numId w:val="6"/>
              </w:numPr>
              <w:spacing w:line="240" w:lineRule="auto"/>
              <w:ind w:left="180" w:hanging="180"/>
            </w:pPr>
            <w:r>
              <w:t>Multiple cultures represented in textbooks</w:t>
            </w:r>
            <w:r w:rsidR="00D00BD1">
              <w:t xml:space="preserve"> </w:t>
            </w:r>
            <w:r w:rsidR="0001091A">
              <w:t>and course materials</w:t>
            </w:r>
          </w:p>
          <w:p w14:paraId="1B4C9B29" w14:textId="77777777" w:rsidR="00764FF2" w:rsidRDefault="00245034">
            <w:pPr>
              <w:widowControl w:val="0"/>
              <w:numPr>
                <w:ilvl w:val="0"/>
                <w:numId w:val="6"/>
              </w:numPr>
              <w:spacing w:line="240" w:lineRule="auto"/>
              <w:ind w:left="180" w:hanging="180"/>
            </w:pPr>
            <w:r>
              <w:t>Low cost and zero textbook costs used</w:t>
            </w:r>
          </w:p>
          <w:p w14:paraId="64E92665" w14:textId="77777777" w:rsidR="00764FF2" w:rsidRDefault="00245034">
            <w:pPr>
              <w:widowControl w:val="0"/>
              <w:numPr>
                <w:ilvl w:val="0"/>
                <w:numId w:val="6"/>
              </w:numPr>
              <w:spacing w:line="240" w:lineRule="auto"/>
              <w:ind w:left="180" w:hanging="180"/>
            </w:pPr>
            <w:r>
              <w:t xml:space="preserve">Open Educational Resources used </w:t>
            </w:r>
          </w:p>
          <w:p w14:paraId="5F72DADD" w14:textId="77777777" w:rsidR="00764FF2" w:rsidRDefault="00764FF2">
            <w:pPr>
              <w:widowControl w:val="0"/>
              <w:spacing w:line="240" w:lineRule="auto"/>
            </w:pPr>
          </w:p>
        </w:tc>
        <w:tc>
          <w:tcPr>
            <w:tcW w:w="4350" w:type="dxa"/>
            <w:shd w:val="clear" w:color="auto" w:fill="auto"/>
            <w:tcMar>
              <w:top w:w="100" w:type="dxa"/>
              <w:left w:w="100" w:type="dxa"/>
              <w:bottom w:w="100" w:type="dxa"/>
              <w:right w:w="100" w:type="dxa"/>
            </w:tcMar>
          </w:tcPr>
          <w:p w14:paraId="544338E2" w14:textId="3AF0C030" w:rsidR="00764FF2" w:rsidRDefault="00245034">
            <w:pPr>
              <w:widowControl w:val="0"/>
              <w:numPr>
                <w:ilvl w:val="0"/>
                <w:numId w:val="2"/>
              </w:numPr>
              <w:spacing w:line="240" w:lineRule="auto"/>
              <w:ind w:left="270" w:hanging="270"/>
            </w:pPr>
            <w:r>
              <w:t>Select textbooks</w:t>
            </w:r>
            <w:r w:rsidR="00FD207C">
              <w:t xml:space="preserve"> and course materials</w:t>
            </w:r>
            <w:r>
              <w:t xml:space="preserve"> that include multiple perspectives and diverse representation from varied rac</w:t>
            </w:r>
            <w:r w:rsidR="006A264A">
              <w:t>ial</w:t>
            </w:r>
            <w:r>
              <w:t xml:space="preserve">, ethnic, sex, gender, sexuality, </w:t>
            </w:r>
            <w:r w:rsidR="006A264A">
              <w:t xml:space="preserve">SES, </w:t>
            </w:r>
            <w:r>
              <w:t>religion, age, and abilities</w:t>
            </w:r>
            <w:r w:rsidR="006A264A">
              <w:t xml:space="preserve"> perspectives</w:t>
            </w:r>
            <w:r>
              <w:t>.</w:t>
            </w:r>
          </w:p>
          <w:p w14:paraId="31EA25D2" w14:textId="5BCABD2F" w:rsidR="00764FF2" w:rsidRDefault="00245034">
            <w:pPr>
              <w:widowControl w:val="0"/>
              <w:numPr>
                <w:ilvl w:val="0"/>
                <w:numId w:val="2"/>
              </w:numPr>
              <w:spacing w:line="240" w:lineRule="auto"/>
              <w:ind w:left="270" w:hanging="270"/>
            </w:pPr>
            <w:r>
              <w:t xml:space="preserve">Explore and select open education resources and </w:t>
            </w:r>
            <w:r w:rsidR="00213D2C">
              <w:t>low-cost</w:t>
            </w:r>
            <w:r>
              <w:t xml:space="preserve"> textbooks and materials for a reduction of costs when feasible. </w:t>
            </w:r>
          </w:p>
          <w:p w14:paraId="7EB9BC75" w14:textId="77777777" w:rsidR="00764FF2" w:rsidRDefault="00245034">
            <w:pPr>
              <w:widowControl w:val="0"/>
              <w:numPr>
                <w:ilvl w:val="0"/>
                <w:numId w:val="2"/>
              </w:numPr>
              <w:spacing w:line="240" w:lineRule="auto"/>
              <w:ind w:left="270" w:hanging="270"/>
            </w:pPr>
            <w:r>
              <w:t>Ensure textbooks and materials are accessible.</w:t>
            </w:r>
          </w:p>
          <w:p w14:paraId="4D15A2C5" w14:textId="77777777" w:rsidR="00764FF2" w:rsidRDefault="00245034">
            <w:pPr>
              <w:widowControl w:val="0"/>
              <w:numPr>
                <w:ilvl w:val="0"/>
                <w:numId w:val="2"/>
              </w:numPr>
              <w:spacing w:line="240" w:lineRule="auto"/>
              <w:ind w:left="270" w:hanging="270"/>
            </w:pPr>
            <w:r>
              <w:t>Enhance textbook selections with additional supplemental materials that ensure the above equity frameworks and principles in decision-making are prioritized and addressed.</w:t>
            </w:r>
          </w:p>
          <w:p w14:paraId="2178CDB6" w14:textId="77777777" w:rsidR="00EC2D8E" w:rsidRDefault="00EC2D8E" w:rsidP="00EC2D8E">
            <w:pPr>
              <w:widowControl w:val="0"/>
              <w:spacing w:line="240" w:lineRule="auto"/>
            </w:pPr>
          </w:p>
          <w:p w14:paraId="367FC62C" w14:textId="5A3A0350" w:rsidR="00EC2D8E" w:rsidRDefault="00EC2D8E" w:rsidP="00EC2D8E">
            <w:pPr>
              <w:widowControl w:val="0"/>
              <w:spacing w:line="240" w:lineRule="auto"/>
              <w:ind w:left="300"/>
            </w:pPr>
            <w:r w:rsidRPr="00EB6C5A">
              <w:rPr>
                <w:sz w:val="18"/>
                <w:szCs w:val="18"/>
              </w:rPr>
              <w:t xml:space="preserve">(For additional resources </w:t>
            </w:r>
            <w:r w:rsidR="00EC4AD6">
              <w:rPr>
                <w:sz w:val="18"/>
                <w:szCs w:val="18"/>
              </w:rPr>
              <w:t xml:space="preserve">for </w:t>
            </w:r>
            <w:r w:rsidRPr="00EB6C5A">
              <w:rPr>
                <w:sz w:val="18"/>
                <w:szCs w:val="18"/>
              </w:rPr>
              <w:t xml:space="preserve">effective </w:t>
            </w:r>
            <w:r w:rsidR="00FD31A5">
              <w:rPr>
                <w:sz w:val="18"/>
                <w:szCs w:val="18"/>
              </w:rPr>
              <w:t xml:space="preserve">inclusion, diversity, equity, </w:t>
            </w:r>
            <w:r w:rsidR="00E53933">
              <w:rPr>
                <w:sz w:val="18"/>
                <w:szCs w:val="18"/>
              </w:rPr>
              <w:t xml:space="preserve">antiracism </w:t>
            </w:r>
            <w:r w:rsidR="00476C84">
              <w:rPr>
                <w:sz w:val="18"/>
                <w:szCs w:val="18"/>
              </w:rPr>
              <w:t>textbook and res</w:t>
            </w:r>
            <w:r w:rsidR="00431B2C">
              <w:rPr>
                <w:sz w:val="18"/>
                <w:szCs w:val="18"/>
              </w:rPr>
              <w:t>ource</w:t>
            </w:r>
            <w:r w:rsidR="00E53933">
              <w:rPr>
                <w:sz w:val="18"/>
                <w:szCs w:val="18"/>
              </w:rPr>
              <w:t xml:space="preserve"> audit</w:t>
            </w:r>
            <w:r w:rsidR="00476C84">
              <w:rPr>
                <w:sz w:val="18"/>
                <w:szCs w:val="18"/>
              </w:rPr>
              <w:t>s</w:t>
            </w:r>
            <w:r w:rsidR="00431B2C">
              <w:rPr>
                <w:sz w:val="18"/>
                <w:szCs w:val="18"/>
              </w:rPr>
              <w:t xml:space="preserve">—see </w:t>
            </w:r>
            <w:hyperlink r:id="rId10" w:history="1">
              <w:r w:rsidR="00362827" w:rsidRPr="00362827">
                <w:rPr>
                  <w:rStyle w:val="Hyperlink"/>
                  <w:sz w:val="18"/>
                  <w:szCs w:val="18"/>
                </w:rPr>
                <w:t>ASCCC OERI Inclusion, Diversity, Equity, and Anti-Racism (IDEA) Framework</w:t>
              </w:r>
            </w:hyperlink>
            <w:r w:rsidR="00EC4AD6">
              <w:rPr>
                <w:sz w:val="18"/>
                <w:szCs w:val="18"/>
              </w:rPr>
              <w:t>)</w:t>
            </w:r>
          </w:p>
        </w:tc>
        <w:tc>
          <w:tcPr>
            <w:tcW w:w="4590" w:type="dxa"/>
            <w:shd w:val="clear" w:color="auto" w:fill="auto"/>
            <w:tcMar>
              <w:top w:w="100" w:type="dxa"/>
              <w:left w:w="100" w:type="dxa"/>
              <w:bottom w:w="100" w:type="dxa"/>
              <w:right w:w="100" w:type="dxa"/>
            </w:tcMar>
          </w:tcPr>
          <w:p w14:paraId="5EE24E97" w14:textId="279E2F30" w:rsidR="00764FF2" w:rsidRDefault="00245034" w:rsidP="00213D2C">
            <w:pPr>
              <w:widowControl w:val="0"/>
              <w:numPr>
                <w:ilvl w:val="0"/>
                <w:numId w:val="2"/>
              </w:numPr>
              <w:spacing w:line="240" w:lineRule="auto"/>
              <w:ind w:left="270" w:hanging="270"/>
            </w:pPr>
            <w:r>
              <w:lastRenderedPageBreak/>
              <w:t>Review textbook</w:t>
            </w:r>
            <w:r w:rsidR="00FD207C">
              <w:t xml:space="preserve"> and course materials</w:t>
            </w:r>
            <w:r>
              <w:t xml:space="preserve"> selections for inclusion of multiple perspectives and diverse representation from varied rac</w:t>
            </w:r>
            <w:r w:rsidR="00A90E85">
              <w:t>ial</w:t>
            </w:r>
            <w:r>
              <w:t xml:space="preserve">, ethnic, sex, gender, sexuality, </w:t>
            </w:r>
            <w:r w:rsidR="00A90E85">
              <w:t xml:space="preserve">SES, </w:t>
            </w:r>
            <w:r>
              <w:t>religion, age, and abilities</w:t>
            </w:r>
            <w:r w:rsidR="00A90E85">
              <w:t xml:space="preserve"> perspectives</w:t>
            </w:r>
            <w:r w:rsidR="009E1C3B">
              <w:t>; and provide feedback and guidance</w:t>
            </w:r>
            <w:r>
              <w:t>.</w:t>
            </w:r>
          </w:p>
          <w:p w14:paraId="2AEDD112" w14:textId="3AE50B4F" w:rsidR="00764FF2" w:rsidRDefault="00245034" w:rsidP="00213D2C">
            <w:pPr>
              <w:widowControl w:val="0"/>
              <w:numPr>
                <w:ilvl w:val="0"/>
                <w:numId w:val="2"/>
              </w:numPr>
              <w:spacing w:line="240" w:lineRule="auto"/>
              <w:ind w:left="270" w:hanging="270"/>
            </w:pPr>
            <w:r>
              <w:t xml:space="preserve">Encourage </w:t>
            </w:r>
            <w:r w:rsidR="008B041E">
              <w:t xml:space="preserve">and incentivize </w:t>
            </w:r>
            <w:r>
              <w:t>reduction of textbook and material costs (via reviews of units, textbook costs, and other materials).</w:t>
            </w:r>
          </w:p>
          <w:p w14:paraId="007A6DB2" w14:textId="77777777" w:rsidR="00764FF2" w:rsidRDefault="00245034" w:rsidP="00213D2C">
            <w:pPr>
              <w:widowControl w:val="0"/>
              <w:numPr>
                <w:ilvl w:val="0"/>
                <w:numId w:val="2"/>
              </w:numPr>
              <w:spacing w:line="240" w:lineRule="auto"/>
              <w:ind w:left="270" w:hanging="270"/>
            </w:pPr>
            <w:r>
              <w:t>Ensure textbooks and materials are accessible.</w:t>
            </w:r>
          </w:p>
          <w:p w14:paraId="73CEE415" w14:textId="75514DBC" w:rsidR="00764FF2" w:rsidRDefault="008227C5" w:rsidP="00213D2C">
            <w:pPr>
              <w:widowControl w:val="0"/>
              <w:numPr>
                <w:ilvl w:val="0"/>
                <w:numId w:val="2"/>
              </w:numPr>
              <w:spacing w:line="240" w:lineRule="auto"/>
              <w:ind w:left="270" w:hanging="270"/>
            </w:pPr>
            <w:r>
              <w:t>Model, encourage and incentivize</w:t>
            </w:r>
            <w:r w:rsidR="00245034">
              <w:t xml:space="preserve"> </w:t>
            </w:r>
            <w:r>
              <w:t xml:space="preserve">inclusion of </w:t>
            </w:r>
            <w:r w:rsidR="00245034">
              <w:t>additional supplemental materials that ensure the above equity frameworks and principles in decision-</w:t>
            </w:r>
            <w:r w:rsidR="00245034">
              <w:lastRenderedPageBreak/>
              <w:t>making are prioritized and addressed.</w:t>
            </w:r>
          </w:p>
        </w:tc>
      </w:tr>
      <w:tr w:rsidR="00764FF2" w14:paraId="3547220B" w14:textId="77777777">
        <w:trPr>
          <w:trHeight w:val="1080"/>
        </w:trPr>
        <w:tc>
          <w:tcPr>
            <w:tcW w:w="2490" w:type="dxa"/>
            <w:shd w:val="clear" w:color="auto" w:fill="auto"/>
            <w:tcMar>
              <w:top w:w="100" w:type="dxa"/>
              <w:left w:w="100" w:type="dxa"/>
              <w:bottom w:w="100" w:type="dxa"/>
              <w:right w:w="100" w:type="dxa"/>
            </w:tcMar>
          </w:tcPr>
          <w:p w14:paraId="1BD78E7B" w14:textId="77777777" w:rsidR="00764FF2" w:rsidRDefault="00245034">
            <w:pPr>
              <w:widowControl w:val="0"/>
              <w:numPr>
                <w:ilvl w:val="0"/>
                <w:numId w:val="19"/>
              </w:numPr>
              <w:spacing w:line="240" w:lineRule="auto"/>
              <w:ind w:left="180" w:hanging="180"/>
            </w:pPr>
            <w:r>
              <w:lastRenderedPageBreak/>
              <w:t>Student facing documents and descriptions focused on deficit-minded language</w:t>
            </w:r>
          </w:p>
        </w:tc>
        <w:tc>
          <w:tcPr>
            <w:tcW w:w="2535" w:type="dxa"/>
            <w:shd w:val="clear" w:color="auto" w:fill="auto"/>
            <w:tcMar>
              <w:top w:w="100" w:type="dxa"/>
              <w:left w:w="100" w:type="dxa"/>
              <w:bottom w:w="100" w:type="dxa"/>
              <w:right w:w="100" w:type="dxa"/>
            </w:tcMar>
          </w:tcPr>
          <w:p w14:paraId="3781BC48" w14:textId="4B200EF2" w:rsidR="00764FF2" w:rsidRDefault="00245034" w:rsidP="00213D2C">
            <w:pPr>
              <w:widowControl w:val="0"/>
              <w:numPr>
                <w:ilvl w:val="0"/>
                <w:numId w:val="19"/>
              </w:numPr>
              <w:spacing w:line="240" w:lineRule="auto"/>
              <w:ind w:left="220" w:hanging="220"/>
            </w:pPr>
            <w:r>
              <w:t>Us</w:t>
            </w:r>
            <w:r w:rsidR="00D40167">
              <w:t>e</w:t>
            </w:r>
            <w:r>
              <w:t xml:space="preserve"> asset-minded and decolonized language</w:t>
            </w:r>
          </w:p>
        </w:tc>
        <w:tc>
          <w:tcPr>
            <w:tcW w:w="4350" w:type="dxa"/>
            <w:shd w:val="clear" w:color="auto" w:fill="auto"/>
            <w:tcMar>
              <w:top w:w="100" w:type="dxa"/>
              <w:left w:w="100" w:type="dxa"/>
              <w:bottom w:w="100" w:type="dxa"/>
              <w:right w:w="100" w:type="dxa"/>
            </w:tcMar>
          </w:tcPr>
          <w:p w14:paraId="0720E775" w14:textId="77777777" w:rsidR="00764FF2" w:rsidRDefault="00245034">
            <w:pPr>
              <w:widowControl w:val="0"/>
              <w:numPr>
                <w:ilvl w:val="0"/>
                <w:numId w:val="19"/>
              </w:numPr>
              <w:spacing w:line="240" w:lineRule="auto"/>
              <w:ind w:left="360"/>
            </w:pPr>
            <w:r>
              <w:t>Shift language from impersonal verbiage and descriptions to warm, culturally responsive content.</w:t>
            </w:r>
          </w:p>
          <w:p w14:paraId="145C2A0E" w14:textId="27EA3840" w:rsidR="00764FF2" w:rsidRDefault="00245034">
            <w:pPr>
              <w:widowControl w:val="0"/>
              <w:numPr>
                <w:ilvl w:val="0"/>
                <w:numId w:val="19"/>
              </w:numPr>
              <w:spacing w:line="240" w:lineRule="auto"/>
              <w:ind w:left="360"/>
            </w:pPr>
            <w:r>
              <w:t xml:space="preserve">Reword language </w:t>
            </w:r>
            <w:r w:rsidR="00D40167">
              <w:t xml:space="preserve">from </w:t>
            </w:r>
            <w:r>
              <w:t xml:space="preserve">a colonized mindset to </w:t>
            </w:r>
            <w:r w:rsidR="00D40167">
              <w:t xml:space="preserve">an </w:t>
            </w:r>
            <w:r>
              <w:t>equity mindset (e.g., colonized vs colonial; enslaved instead of slaves).</w:t>
            </w:r>
          </w:p>
          <w:p w14:paraId="2EC6178E" w14:textId="1024D28A" w:rsidR="00764FF2" w:rsidRDefault="00245034" w:rsidP="0002164C">
            <w:pPr>
              <w:widowControl w:val="0"/>
              <w:numPr>
                <w:ilvl w:val="0"/>
                <w:numId w:val="19"/>
              </w:numPr>
              <w:spacing w:line="240" w:lineRule="auto"/>
              <w:ind w:left="360"/>
            </w:pPr>
            <w:r>
              <w:t xml:space="preserve">Collaborate with student services faculty and classified professionals </w:t>
            </w:r>
            <w:r w:rsidR="00F8326A">
              <w:t>to prioritize student needs in</w:t>
            </w:r>
            <w:r>
              <w:t xml:space="preserve"> a more </w:t>
            </w:r>
            <w:r w:rsidR="00531920">
              <w:t xml:space="preserve">hands-on, </w:t>
            </w:r>
            <w:r>
              <w:t>holistic approach</w:t>
            </w:r>
            <w:r w:rsidR="005A2BC1">
              <w:t xml:space="preserve"> that addresses the whole student</w:t>
            </w:r>
          </w:p>
        </w:tc>
        <w:tc>
          <w:tcPr>
            <w:tcW w:w="4590" w:type="dxa"/>
            <w:shd w:val="clear" w:color="auto" w:fill="auto"/>
            <w:tcMar>
              <w:top w:w="100" w:type="dxa"/>
              <w:left w:w="100" w:type="dxa"/>
              <w:bottom w:w="100" w:type="dxa"/>
              <w:right w:w="100" w:type="dxa"/>
            </w:tcMar>
          </w:tcPr>
          <w:p w14:paraId="00826C78" w14:textId="75554910" w:rsidR="00764FF2" w:rsidRDefault="00072F90" w:rsidP="006102A5">
            <w:pPr>
              <w:widowControl w:val="0"/>
              <w:numPr>
                <w:ilvl w:val="0"/>
                <w:numId w:val="17"/>
              </w:numPr>
              <w:spacing w:line="240" w:lineRule="auto"/>
              <w:ind w:left="270" w:hanging="270"/>
            </w:pPr>
            <w:r>
              <w:t>Examine</w:t>
            </w:r>
            <w:r w:rsidR="00245034">
              <w:t xml:space="preserve"> equity-minded language continuity in documents that are front-facing to ensure culturally responsive practices such as in course descriptions, catalogue, course outlines of record, website, and policies. </w:t>
            </w:r>
          </w:p>
          <w:p w14:paraId="2687EED1" w14:textId="706ABF5E" w:rsidR="00764FF2" w:rsidRDefault="00245034" w:rsidP="006102A5">
            <w:pPr>
              <w:widowControl w:val="0"/>
              <w:numPr>
                <w:ilvl w:val="0"/>
                <w:numId w:val="17"/>
              </w:numPr>
              <w:spacing w:line="240" w:lineRule="auto"/>
              <w:ind w:left="270" w:hanging="270"/>
            </w:pPr>
            <w:r>
              <w:t xml:space="preserve">Review documents for language and descriptions that may be impersonal and </w:t>
            </w:r>
            <w:r w:rsidR="008C3448">
              <w:t xml:space="preserve">shift </w:t>
            </w:r>
            <w:r>
              <w:t xml:space="preserve">descriptions to </w:t>
            </w:r>
            <w:r w:rsidR="008C3448">
              <w:t xml:space="preserve">be </w:t>
            </w:r>
            <w:r>
              <w:t xml:space="preserve">warm, </w:t>
            </w:r>
            <w:r w:rsidR="008C3448">
              <w:t xml:space="preserve">&amp; </w:t>
            </w:r>
            <w:r>
              <w:t>culturally responsive.</w:t>
            </w:r>
          </w:p>
          <w:p w14:paraId="47E19CBF" w14:textId="63E0EF82" w:rsidR="00764FF2" w:rsidRDefault="00245034" w:rsidP="006102A5">
            <w:pPr>
              <w:widowControl w:val="0"/>
              <w:numPr>
                <w:ilvl w:val="0"/>
                <w:numId w:val="17"/>
              </w:numPr>
              <w:spacing w:line="240" w:lineRule="auto"/>
              <w:ind w:left="270" w:hanging="270"/>
            </w:pPr>
            <w:r>
              <w:t xml:space="preserve">Recommend </w:t>
            </w:r>
            <w:r w:rsidR="00A76F7A">
              <w:t xml:space="preserve">and model </w:t>
            </w:r>
            <w:r>
              <w:t xml:space="preserve">rewording language </w:t>
            </w:r>
            <w:r w:rsidR="00A76F7A">
              <w:t>from</w:t>
            </w:r>
            <w:r>
              <w:t xml:space="preserve"> a colonized mindset to equity mindset.</w:t>
            </w:r>
          </w:p>
        </w:tc>
      </w:tr>
      <w:tr w:rsidR="00764FF2" w14:paraId="254F8B3A" w14:textId="77777777">
        <w:trPr>
          <w:trHeight w:val="1080"/>
        </w:trPr>
        <w:tc>
          <w:tcPr>
            <w:tcW w:w="2490" w:type="dxa"/>
            <w:shd w:val="clear" w:color="auto" w:fill="auto"/>
            <w:tcMar>
              <w:top w:w="100" w:type="dxa"/>
              <w:left w:w="100" w:type="dxa"/>
              <w:bottom w:w="100" w:type="dxa"/>
              <w:right w:w="100" w:type="dxa"/>
            </w:tcMar>
          </w:tcPr>
          <w:p w14:paraId="04F1C948" w14:textId="77777777" w:rsidR="00764FF2" w:rsidRDefault="00245034">
            <w:pPr>
              <w:widowControl w:val="0"/>
              <w:numPr>
                <w:ilvl w:val="0"/>
                <w:numId w:val="17"/>
              </w:numPr>
              <w:pBdr>
                <w:top w:val="nil"/>
                <w:left w:val="nil"/>
                <w:bottom w:val="nil"/>
                <w:right w:val="nil"/>
                <w:between w:val="nil"/>
              </w:pBdr>
              <w:spacing w:line="240" w:lineRule="auto"/>
              <w:ind w:left="180" w:hanging="180"/>
            </w:pPr>
            <w:r>
              <w:t>Institutional culture of deference to discipline faculty as the only experts on curriculum</w:t>
            </w:r>
          </w:p>
          <w:p w14:paraId="4AC374FF" w14:textId="77777777" w:rsidR="00764FF2" w:rsidRDefault="00764FF2">
            <w:pPr>
              <w:widowControl w:val="0"/>
              <w:pBdr>
                <w:top w:val="nil"/>
                <w:left w:val="nil"/>
                <w:bottom w:val="nil"/>
                <w:right w:val="nil"/>
                <w:between w:val="nil"/>
              </w:pBdr>
              <w:spacing w:line="240" w:lineRule="auto"/>
              <w:ind w:left="720"/>
            </w:pPr>
          </w:p>
        </w:tc>
        <w:tc>
          <w:tcPr>
            <w:tcW w:w="2535" w:type="dxa"/>
            <w:shd w:val="clear" w:color="auto" w:fill="auto"/>
            <w:tcMar>
              <w:top w:w="100" w:type="dxa"/>
              <w:left w:w="100" w:type="dxa"/>
              <w:bottom w:w="100" w:type="dxa"/>
              <w:right w:w="100" w:type="dxa"/>
            </w:tcMar>
          </w:tcPr>
          <w:p w14:paraId="476C2A10" w14:textId="47514271" w:rsidR="00764FF2" w:rsidRDefault="00245034" w:rsidP="00213D2C">
            <w:pPr>
              <w:widowControl w:val="0"/>
              <w:numPr>
                <w:ilvl w:val="0"/>
                <w:numId w:val="17"/>
              </w:numPr>
              <w:pBdr>
                <w:top w:val="nil"/>
                <w:left w:val="nil"/>
                <w:bottom w:val="nil"/>
                <w:right w:val="nil"/>
                <w:between w:val="nil"/>
              </w:pBdr>
              <w:spacing w:line="240" w:lineRule="auto"/>
              <w:ind w:left="220" w:hanging="270"/>
            </w:pPr>
            <w:r>
              <w:t>Interrogat</w:t>
            </w:r>
            <w:r w:rsidR="001B6F6B">
              <w:t>e</w:t>
            </w:r>
            <w:r>
              <w:t xml:space="preserve"> systemic and institutional barriers</w:t>
            </w:r>
          </w:p>
          <w:p w14:paraId="1B966FF9" w14:textId="136EB854" w:rsidR="00764FF2" w:rsidRDefault="00245034" w:rsidP="00213D2C">
            <w:pPr>
              <w:widowControl w:val="0"/>
              <w:numPr>
                <w:ilvl w:val="0"/>
                <w:numId w:val="17"/>
              </w:numPr>
              <w:pBdr>
                <w:top w:val="nil"/>
                <w:left w:val="nil"/>
                <w:bottom w:val="nil"/>
                <w:right w:val="nil"/>
                <w:between w:val="nil"/>
              </w:pBdr>
              <w:spacing w:line="240" w:lineRule="auto"/>
              <w:ind w:left="220" w:hanging="270"/>
            </w:pPr>
            <w:r>
              <w:t>Dismantl</w:t>
            </w:r>
            <w:r w:rsidR="001B6F6B">
              <w:t>e</w:t>
            </w:r>
            <w:r>
              <w:t xml:space="preserve"> institutional deference to hierarchies that perpetuate barriers</w:t>
            </w:r>
          </w:p>
          <w:p w14:paraId="755253DC" w14:textId="19A228BD" w:rsidR="00764FF2" w:rsidRDefault="00245034" w:rsidP="00213D2C">
            <w:pPr>
              <w:widowControl w:val="0"/>
              <w:numPr>
                <w:ilvl w:val="0"/>
                <w:numId w:val="17"/>
              </w:numPr>
              <w:pBdr>
                <w:top w:val="nil"/>
                <w:left w:val="nil"/>
                <w:bottom w:val="nil"/>
                <w:right w:val="nil"/>
                <w:between w:val="nil"/>
              </w:pBdr>
              <w:spacing w:line="240" w:lineRule="auto"/>
              <w:ind w:left="220" w:hanging="270"/>
            </w:pPr>
            <w:r>
              <w:lastRenderedPageBreak/>
              <w:t>Mov</w:t>
            </w:r>
            <w:r w:rsidR="001B6F6B">
              <w:t>e</w:t>
            </w:r>
            <w:r>
              <w:t xml:space="preserve"> as a faculty collective toward antiracist critical consciousness</w:t>
            </w:r>
          </w:p>
        </w:tc>
        <w:tc>
          <w:tcPr>
            <w:tcW w:w="4350" w:type="dxa"/>
            <w:shd w:val="clear" w:color="auto" w:fill="auto"/>
            <w:tcMar>
              <w:top w:w="100" w:type="dxa"/>
              <w:left w:w="100" w:type="dxa"/>
              <w:bottom w:w="100" w:type="dxa"/>
              <w:right w:w="100" w:type="dxa"/>
            </w:tcMar>
          </w:tcPr>
          <w:p w14:paraId="726805CC" w14:textId="77777777" w:rsidR="00764FF2" w:rsidRDefault="00245034">
            <w:pPr>
              <w:widowControl w:val="0"/>
              <w:numPr>
                <w:ilvl w:val="0"/>
                <w:numId w:val="17"/>
              </w:numPr>
              <w:pBdr>
                <w:top w:val="nil"/>
                <w:left w:val="nil"/>
                <w:bottom w:val="nil"/>
                <w:right w:val="nil"/>
                <w:between w:val="nil"/>
              </w:pBdr>
              <w:spacing w:line="240" w:lineRule="auto"/>
              <w:ind w:left="270" w:hanging="270"/>
            </w:pPr>
            <w:r>
              <w:lastRenderedPageBreak/>
              <w:t xml:space="preserve">Complete training and professional development on cultural curriculum audits. </w:t>
            </w:r>
          </w:p>
          <w:p w14:paraId="1BB34C16" w14:textId="3CC7E02C" w:rsidR="00764FF2" w:rsidRDefault="0002164C">
            <w:pPr>
              <w:widowControl w:val="0"/>
              <w:numPr>
                <w:ilvl w:val="0"/>
                <w:numId w:val="17"/>
              </w:numPr>
              <w:pBdr>
                <w:top w:val="nil"/>
                <w:left w:val="nil"/>
                <w:bottom w:val="nil"/>
                <w:right w:val="nil"/>
                <w:between w:val="nil"/>
              </w:pBdr>
              <w:spacing w:line="240" w:lineRule="auto"/>
              <w:ind w:left="270" w:hanging="270"/>
            </w:pPr>
            <w:r>
              <w:t xml:space="preserve">Embrace DEI discussions, value </w:t>
            </w:r>
            <w:r w:rsidR="00245034">
              <w:t xml:space="preserve">cross-functional input, and solicit interdisciplinary feedback. </w:t>
            </w:r>
          </w:p>
          <w:p w14:paraId="487AADE6" w14:textId="77777777" w:rsidR="00764FF2" w:rsidRDefault="00245034">
            <w:pPr>
              <w:widowControl w:val="0"/>
              <w:numPr>
                <w:ilvl w:val="0"/>
                <w:numId w:val="17"/>
              </w:numPr>
              <w:pBdr>
                <w:top w:val="nil"/>
                <w:left w:val="nil"/>
                <w:bottom w:val="nil"/>
                <w:right w:val="nil"/>
                <w:between w:val="nil"/>
              </w:pBdr>
              <w:spacing w:line="240" w:lineRule="auto"/>
              <w:ind w:left="270" w:hanging="270"/>
            </w:pPr>
            <w:r>
              <w:t xml:space="preserve">Protect the cultural integrity of an academic discipline to support equity </w:t>
            </w:r>
            <w:r>
              <w:lastRenderedPageBreak/>
              <w:t>by no longer weaponizing “academic integrity” and “academic freedom” that impedes equity and inflicts curricular trauma on our students, especially historically marginalized students.</w:t>
            </w:r>
          </w:p>
        </w:tc>
        <w:tc>
          <w:tcPr>
            <w:tcW w:w="4590" w:type="dxa"/>
            <w:shd w:val="clear" w:color="auto" w:fill="auto"/>
            <w:tcMar>
              <w:top w:w="100" w:type="dxa"/>
              <w:left w:w="100" w:type="dxa"/>
              <w:bottom w:w="100" w:type="dxa"/>
              <w:right w:w="100" w:type="dxa"/>
            </w:tcMar>
          </w:tcPr>
          <w:p w14:paraId="256E3C74" w14:textId="77777777" w:rsidR="00764FF2" w:rsidRDefault="00245034" w:rsidP="006102A5">
            <w:pPr>
              <w:widowControl w:val="0"/>
              <w:numPr>
                <w:ilvl w:val="0"/>
                <w:numId w:val="3"/>
              </w:numPr>
              <w:spacing w:line="240" w:lineRule="auto"/>
              <w:ind w:left="270" w:hanging="270"/>
            </w:pPr>
            <w:r>
              <w:lastRenderedPageBreak/>
              <w:t>Assert the voice of and embrace the power and authority granted in educational code and title 5 to make curriculum decisions, as is the responsibility of curriculum committees.</w:t>
            </w:r>
          </w:p>
          <w:p w14:paraId="1111F733" w14:textId="77777777" w:rsidR="00764FF2" w:rsidRDefault="00245034" w:rsidP="006102A5">
            <w:pPr>
              <w:widowControl w:val="0"/>
              <w:numPr>
                <w:ilvl w:val="0"/>
                <w:numId w:val="3"/>
              </w:numPr>
              <w:spacing w:line="240" w:lineRule="auto"/>
              <w:ind w:left="270" w:hanging="270"/>
            </w:pPr>
            <w:r>
              <w:t>Intentionally include culturally responsive experts on curriculum committees and for review of CORs.</w:t>
            </w:r>
          </w:p>
          <w:p w14:paraId="794516D2" w14:textId="77777777" w:rsidR="00764FF2" w:rsidRDefault="00245034" w:rsidP="006102A5">
            <w:pPr>
              <w:widowControl w:val="0"/>
              <w:numPr>
                <w:ilvl w:val="0"/>
                <w:numId w:val="3"/>
              </w:numPr>
              <w:spacing w:line="240" w:lineRule="auto"/>
              <w:ind w:left="270" w:hanging="270"/>
            </w:pPr>
            <w:proofErr w:type="spellStart"/>
            <w:r>
              <w:lastRenderedPageBreak/>
              <w:t>Agendize</w:t>
            </w:r>
            <w:proofErr w:type="spellEnd"/>
            <w:r>
              <w:t xml:space="preserve"> and normalize DEI discussions and intentionally alter practices that perpetuate barriers.</w:t>
            </w:r>
          </w:p>
          <w:p w14:paraId="6A897870" w14:textId="3AC78A2D" w:rsidR="00764FF2" w:rsidRDefault="00245034" w:rsidP="006102A5">
            <w:pPr>
              <w:widowControl w:val="0"/>
              <w:numPr>
                <w:ilvl w:val="0"/>
                <w:numId w:val="3"/>
              </w:numPr>
              <w:spacing w:line="240" w:lineRule="auto"/>
              <w:ind w:left="270" w:hanging="270"/>
            </w:pPr>
            <w:r>
              <w:t xml:space="preserve">Create a curriculum committee handbook that requires a diversity, equity, inclusion, and antiracist lens for </w:t>
            </w:r>
            <w:r w:rsidR="00E96946">
              <w:t xml:space="preserve">the </w:t>
            </w:r>
            <w:r>
              <w:t xml:space="preserve">COR. </w:t>
            </w:r>
          </w:p>
          <w:p w14:paraId="36DE4E29" w14:textId="77777777" w:rsidR="00764FF2" w:rsidRDefault="00245034" w:rsidP="006102A5">
            <w:pPr>
              <w:widowControl w:val="0"/>
              <w:numPr>
                <w:ilvl w:val="0"/>
                <w:numId w:val="3"/>
              </w:numPr>
              <w:spacing w:line="240" w:lineRule="auto"/>
              <w:ind w:left="270" w:hanging="270"/>
            </w:pPr>
            <w:r>
              <w:t xml:space="preserve">Make time for critical conversations, empowering faculty to hold each other accountable for embedding cultural humility in faculty self-reflection and cultural competency into lessons and activities. </w:t>
            </w:r>
          </w:p>
          <w:p w14:paraId="09693CD6" w14:textId="77777777" w:rsidR="00764FF2" w:rsidRDefault="00245034" w:rsidP="006102A5">
            <w:pPr>
              <w:widowControl w:val="0"/>
              <w:spacing w:before="240"/>
              <w:ind w:left="270" w:hanging="270"/>
            </w:pPr>
            <w:r>
              <w:rPr>
                <w:sz w:val="18"/>
                <w:szCs w:val="18"/>
              </w:rPr>
              <w:t>(For more information on embedding DEI into the COR--see</w:t>
            </w:r>
            <w:hyperlink r:id="rId11">
              <w:r>
                <w:rPr>
                  <w:sz w:val="18"/>
                  <w:szCs w:val="18"/>
                </w:rPr>
                <w:t xml:space="preserve"> </w:t>
              </w:r>
            </w:hyperlink>
            <w:hyperlink r:id="rId12">
              <w:r>
                <w:rPr>
                  <w:color w:val="1155CC"/>
                  <w:sz w:val="18"/>
                  <w:szCs w:val="18"/>
                  <w:u w:val="single"/>
                </w:rPr>
                <w:t>Rostrum article</w:t>
              </w:r>
            </w:hyperlink>
            <w:r>
              <w:rPr>
                <w:sz w:val="18"/>
                <w:szCs w:val="18"/>
              </w:rPr>
              <w:t xml:space="preserve"> “Moving the Needle: Equity, Cultural Responsiveness, and Anti-Racism in the Course Outline of Record”)</w:t>
            </w:r>
          </w:p>
        </w:tc>
      </w:tr>
      <w:tr w:rsidR="00764FF2" w14:paraId="1F9AD0C4" w14:textId="77777777">
        <w:trPr>
          <w:trHeight w:val="1080"/>
        </w:trPr>
        <w:tc>
          <w:tcPr>
            <w:tcW w:w="2490" w:type="dxa"/>
            <w:shd w:val="clear" w:color="auto" w:fill="auto"/>
            <w:tcMar>
              <w:top w:w="100" w:type="dxa"/>
              <w:left w:w="100" w:type="dxa"/>
              <w:bottom w:w="100" w:type="dxa"/>
              <w:right w:w="100" w:type="dxa"/>
            </w:tcMar>
          </w:tcPr>
          <w:p w14:paraId="779CED5C" w14:textId="759A5EB6" w:rsidR="00764FF2" w:rsidRDefault="00245034" w:rsidP="00213D2C">
            <w:pPr>
              <w:widowControl w:val="0"/>
              <w:numPr>
                <w:ilvl w:val="0"/>
                <w:numId w:val="5"/>
              </w:numPr>
              <w:pBdr>
                <w:top w:val="nil"/>
                <w:left w:val="nil"/>
                <w:bottom w:val="nil"/>
                <w:right w:val="nil"/>
                <w:between w:val="nil"/>
              </w:pBdr>
              <w:spacing w:line="240" w:lineRule="auto"/>
              <w:ind w:left="200" w:hanging="200"/>
            </w:pPr>
            <w:r>
              <w:lastRenderedPageBreak/>
              <w:t xml:space="preserve">Course syllabus is approached from a compliance </w:t>
            </w:r>
            <w:r w:rsidR="001B6F6B">
              <w:t>and/</w:t>
            </w:r>
            <w:r>
              <w:t>or teacher-centered perspective</w:t>
            </w:r>
          </w:p>
          <w:p w14:paraId="5A4AD297" w14:textId="77777777" w:rsidR="00764FF2" w:rsidRDefault="00764FF2">
            <w:pPr>
              <w:widowControl w:val="0"/>
              <w:pBdr>
                <w:top w:val="nil"/>
                <w:left w:val="nil"/>
                <w:bottom w:val="nil"/>
                <w:right w:val="nil"/>
                <w:between w:val="nil"/>
              </w:pBdr>
              <w:spacing w:line="240" w:lineRule="auto"/>
            </w:pPr>
          </w:p>
        </w:tc>
        <w:tc>
          <w:tcPr>
            <w:tcW w:w="2535" w:type="dxa"/>
            <w:shd w:val="clear" w:color="auto" w:fill="auto"/>
            <w:tcMar>
              <w:top w:w="100" w:type="dxa"/>
              <w:left w:w="100" w:type="dxa"/>
              <w:bottom w:w="100" w:type="dxa"/>
              <w:right w:w="100" w:type="dxa"/>
            </w:tcMar>
          </w:tcPr>
          <w:p w14:paraId="037DC18D" w14:textId="161487E3" w:rsidR="00764FF2" w:rsidRDefault="00245034" w:rsidP="006102A5">
            <w:pPr>
              <w:widowControl w:val="0"/>
              <w:numPr>
                <w:ilvl w:val="0"/>
                <w:numId w:val="7"/>
              </w:numPr>
              <w:pBdr>
                <w:top w:val="nil"/>
                <w:left w:val="nil"/>
                <w:bottom w:val="nil"/>
                <w:right w:val="nil"/>
                <w:between w:val="nil"/>
              </w:pBdr>
              <w:spacing w:line="240" w:lineRule="auto"/>
              <w:ind w:left="220" w:hanging="220"/>
            </w:pPr>
            <w:r>
              <w:t>Refram</w:t>
            </w:r>
            <w:r w:rsidR="001B6F6B">
              <w:t>e</w:t>
            </w:r>
            <w:r>
              <w:t xml:space="preserve"> practices and policies to </w:t>
            </w:r>
            <w:r w:rsidR="001B6F6B">
              <w:t xml:space="preserve">serve as </w:t>
            </w:r>
            <w:r>
              <w:t>a co-learner and engag</w:t>
            </w:r>
            <w:r w:rsidR="001B6F6B">
              <w:t>e</w:t>
            </w:r>
            <w:r>
              <w:t xml:space="preserve"> in a partnership</w:t>
            </w:r>
          </w:p>
          <w:p w14:paraId="0A76F7C5" w14:textId="2449E4A0" w:rsidR="00764FF2" w:rsidRDefault="001B6F6B" w:rsidP="006102A5">
            <w:pPr>
              <w:widowControl w:val="0"/>
              <w:numPr>
                <w:ilvl w:val="0"/>
                <w:numId w:val="7"/>
              </w:numPr>
              <w:pBdr>
                <w:top w:val="nil"/>
                <w:left w:val="nil"/>
                <w:bottom w:val="nil"/>
                <w:right w:val="nil"/>
                <w:between w:val="nil"/>
              </w:pBdr>
              <w:spacing w:line="240" w:lineRule="auto"/>
              <w:ind w:left="220" w:hanging="220"/>
            </w:pPr>
            <w:r>
              <w:t>Actively c</w:t>
            </w:r>
            <w:r w:rsidR="00245034">
              <w:t>ar</w:t>
            </w:r>
            <w:r>
              <w:t>e</w:t>
            </w:r>
            <w:r w:rsidR="00245034">
              <w:t xml:space="preserve"> for the whole human being in syllabi/classroom policies</w:t>
            </w:r>
          </w:p>
          <w:p w14:paraId="110C073A" w14:textId="41D49828" w:rsidR="00764FF2" w:rsidRDefault="00245034" w:rsidP="006102A5">
            <w:pPr>
              <w:widowControl w:val="0"/>
              <w:numPr>
                <w:ilvl w:val="0"/>
                <w:numId w:val="7"/>
              </w:numPr>
              <w:pBdr>
                <w:top w:val="nil"/>
                <w:left w:val="nil"/>
                <w:bottom w:val="nil"/>
                <w:right w:val="nil"/>
                <w:between w:val="nil"/>
              </w:pBdr>
              <w:spacing w:line="240" w:lineRule="auto"/>
              <w:ind w:left="220" w:hanging="220"/>
            </w:pPr>
            <w:r>
              <w:t>Democratiz</w:t>
            </w:r>
            <w:r w:rsidR="001B6F6B">
              <w:t>e</w:t>
            </w:r>
            <w:r>
              <w:t xml:space="preserve"> the </w:t>
            </w:r>
            <w:r>
              <w:lastRenderedPageBreak/>
              <w:t>student/teacher relationship</w:t>
            </w:r>
            <w:r w:rsidR="00720BE6">
              <w:t xml:space="preserve"> and empower students’ agency over their own learning</w:t>
            </w:r>
          </w:p>
        </w:tc>
        <w:tc>
          <w:tcPr>
            <w:tcW w:w="4350" w:type="dxa"/>
            <w:shd w:val="clear" w:color="auto" w:fill="auto"/>
            <w:tcMar>
              <w:top w:w="100" w:type="dxa"/>
              <w:left w:w="100" w:type="dxa"/>
              <w:bottom w:w="100" w:type="dxa"/>
              <w:right w:w="100" w:type="dxa"/>
            </w:tcMar>
          </w:tcPr>
          <w:p w14:paraId="157DFA90" w14:textId="77777777" w:rsidR="00764FF2" w:rsidRDefault="00245034">
            <w:pPr>
              <w:widowControl w:val="0"/>
              <w:numPr>
                <w:ilvl w:val="0"/>
                <w:numId w:val="7"/>
              </w:numPr>
              <w:pBdr>
                <w:top w:val="nil"/>
                <w:left w:val="nil"/>
                <w:bottom w:val="nil"/>
                <w:right w:val="nil"/>
                <w:between w:val="nil"/>
              </w:pBdr>
              <w:spacing w:line="240" w:lineRule="auto"/>
              <w:ind w:left="270" w:hanging="270"/>
            </w:pPr>
            <w:r>
              <w:lastRenderedPageBreak/>
              <w:t>Use warm handoffs and intentional basic needs office/resource contact names, websites, phone numbers.</w:t>
            </w:r>
          </w:p>
          <w:p w14:paraId="72B4BBE7" w14:textId="7625B56B" w:rsidR="002D1570" w:rsidRDefault="002D1570">
            <w:pPr>
              <w:widowControl w:val="0"/>
              <w:numPr>
                <w:ilvl w:val="0"/>
                <w:numId w:val="7"/>
              </w:numPr>
              <w:pBdr>
                <w:top w:val="nil"/>
                <w:left w:val="nil"/>
                <w:bottom w:val="nil"/>
                <w:right w:val="nil"/>
                <w:between w:val="nil"/>
              </w:pBdr>
              <w:spacing w:line="240" w:lineRule="auto"/>
              <w:ind w:left="270" w:hanging="270"/>
            </w:pPr>
            <w:r>
              <w:t>Understand and be sensitive to students’ lived experiences.</w:t>
            </w:r>
          </w:p>
          <w:p w14:paraId="1D022C86" w14:textId="13DDFBB1" w:rsidR="00764FF2" w:rsidRDefault="00245034">
            <w:pPr>
              <w:widowControl w:val="0"/>
              <w:numPr>
                <w:ilvl w:val="0"/>
                <w:numId w:val="7"/>
              </w:numPr>
              <w:pBdr>
                <w:top w:val="nil"/>
                <w:left w:val="nil"/>
                <w:bottom w:val="nil"/>
                <w:right w:val="nil"/>
                <w:between w:val="nil"/>
              </w:pBdr>
              <w:spacing w:line="240" w:lineRule="auto"/>
              <w:ind w:left="270" w:hanging="270"/>
            </w:pPr>
            <w:r>
              <w:t xml:space="preserve">Use flexible due dates and </w:t>
            </w:r>
            <w:r w:rsidR="002D1570">
              <w:t>make room for students’ needs</w:t>
            </w:r>
            <w:r>
              <w:t xml:space="preserve">. </w:t>
            </w:r>
          </w:p>
          <w:p w14:paraId="7772CBB8" w14:textId="087A2BC5" w:rsidR="00764FF2" w:rsidRPr="00F72E4C" w:rsidRDefault="00F72E4C">
            <w:pPr>
              <w:widowControl w:val="0"/>
              <w:numPr>
                <w:ilvl w:val="0"/>
                <w:numId w:val="7"/>
              </w:numPr>
              <w:pBdr>
                <w:top w:val="nil"/>
                <w:left w:val="nil"/>
                <w:bottom w:val="nil"/>
                <w:right w:val="nil"/>
                <w:between w:val="nil"/>
              </w:pBdr>
              <w:spacing w:line="240" w:lineRule="auto"/>
              <w:ind w:left="270" w:hanging="270"/>
            </w:pPr>
            <w:r>
              <w:t xml:space="preserve">Coach and “water up” - </w:t>
            </w:r>
            <w:r w:rsidRPr="00F72E4C">
              <w:t xml:space="preserve">meaning to create learning environments where students become active agents in their </w:t>
            </w:r>
            <w:r w:rsidRPr="00F72E4C">
              <w:lastRenderedPageBreak/>
              <w:t xml:space="preserve">own learning (see Hammond’s definition </w:t>
            </w:r>
            <w:r w:rsidR="00B1257B">
              <w:t xml:space="preserve">in the Glossary of Terms </w:t>
            </w:r>
            <w:r w:rsidRPr="00F72E4C">
              <w:t>below).</w:t>
            </w:r>
          </w:p>
          <w:p w14:paraId="09FE5725" w14:textId="77777777" w:rsidR="00764FF2" w:rsidRDefault="00245034">
            <w:pPr>
              <w:widowControl w:val="0"/>
              <w:numPr>
                <w:ilvl w:val="0"/>
                <w:numId w:val="7"/>
              </w:numPr>
              <w:pBdr>
                <w:top w:val="nil"/>
                <w:left w:val="nil"/>
                <w:bottom w:val="nil"/>
                <w:right w:val="nil"/>
                <w:between w:val="nil"/>
              </w:pBdr>
              <w:spacing w:line="240" w:lineRule="auto"/>
              <w:ind w:left="270" w:hanging="270"/>
            </w:pPr>
            <w:r>
              <w:t>Communicate in the syllabus</w:t>
            </w:r>
          </w:p>
          <w:p w14:paraId="7D61DF4F" w14:textId="460D81E1" w:rsidR="00764FF2" w:rsidRDefault="00D001CA" w:rsidP="006102A5">
            <w:pPr>
              <w:widowControl w:val="0"/>
              <w:numPr>
                <w:ilvl w:val="0"/>
                <w:numId w:val="8"/>
              </w:numPr>
              <w:spacing w:line="240" w:lineRule="auto"/>
              <w:ind w:left="570" w:hanging="210"/>
            </w:pPr>
            <w:r>
              <w:t xml:space="preserve">intention </w:t>
            </w:r>
            <w:r w:rsidR="00245034">
              <w:t>to create a classroom where students are cared for and valued as learners</w:t>
            </w:r>
          </w:p>
          <w:p w14:paraId="2EC0D4BC" w14:textId="054F500F" w:rsidR="00764FF2" w:rsidRDefault="00245034" w:rsidP="006102A5">
            <w:pPr>
              <w:widowControl w:val="0"/>
              <w:numPr>
                <w:ilvl w:val="0"/>
                <w:numId w:val="8"/>
              </w:numPr>
              <w:spacing w:line="240" w:lineRule="auto"/>
              <w:ind w:left="570" w:hanging="210"/>
            </w:pPr>
            <w:r>
              <w:t xml:space="preserve">desire for </w:t>
            </w:r>
            <w:r w:rsidR="00D001CA">
              <w:t xml:space="preserve">and ability of </w:t>
            </w:r>
            <w:r>
              <w:t>all students to succeed at a high level and outline how faculty work with students for their success</w:t>
            </w:r>
          </w:p>
          <w:p w14:paraId="36ADEDAA" w14:textId="77777777" w:rsidR="00764FF2" w:rsidRDefault="00245034" w:rsidP="006102A5">
            <w:pPr>
              <w:widowControl w:val="0"/>
              <w:numPr>
                <w:ilvl w:val="0"/>
                <w:numId w:val="8"/>
              </w:numPr>
              <w:spacing w:line="240" w:lineRule="auto"/>
              <w:ind w:left="570" w:hanging="210"/>
            </w:pPr>
            <w:r>
              <w:t>belief that all students are expected to succeed</w:t>
            </w:r>
          </w:p>
          <w:p w14:paraId="6CED67A1" w14:textId="77777777" w:rsidR="003F73C9" w:rsidRDefault="003F73C9" w:rsidP="006102A5">
            <w:pPr>
              <w:widowControl w:val="0"/>
              <w:numPr>
                <w:ilvl w:val="0"/>
                <w:numId w:val="8"/>
              </w:numPr>
              <w:spacing w:line="240" w:lineRule="auto"/>
              <w:ind w:left="570" w:hanging="210"/>
            </w:pPr>
            <w:r>
              <w:t xml:space="preserve">actively promote awareness and critical examination of dominant norms and broader social inequalities </w:t>
            </w:r>
          </w:p>
          <w:p w14:paraId="49836388" w14:textId="6095C683" w:rsidR="00764FF2" w:rsidRDefault="00245034" w:rsidP="006102A5">
            <w:pPr>
              <w:widowControl w:val="0"/>
              <w:numPr>
                <w:ilvl w:val="0"/>
                <w:numId w:val="8"/>
              </w:numPr>
              <w:spacing w:line="240" w:lineRule="auto"/>
              <w:ind w:left="570" w:hanging="210"/>
            </w:pPr>
            <w:r>
              <w:t>the value of students’ racial/ethnic backgrounds as sources of learning and knowledge, AND</w:t>
            </w:r>
          </w:p>
          <w:p w14:paraId="508E2AE7" w14:textId="77777777" w:rsidR="00764FF2" w:rsidRDefault="00245034" w:rsidP="006102A5">
            <w:pPr>
              <w:widowControl w:val="0"/>
              <w:numPr>
                <w:ilvl w:val="0"/>
                <w:numId w:val="8"/>
              </w:numPr>
              <w:spacing w:line="240" w:lineRule="auto"/>
              <w:ind w:left="570" w:hanging="210"/>
            </w:pPr>
            <w:r>
              <w:t>actively promote awareness and critical examination of students’ assumptions, beliefs, and privilege</w:t>
            </w:r>
          </w:p>
          <w:p w14:paraId="3FFA3FD1" w14:textId="0F3C60A5" w:rsidR="00245034" w:rsidRDefault="00245034" w:rsidP="00245034">
            <w:pPr>
              <w:widowControl w:val="0"/>
              <w:numPr>
                <w:ilvl w:val="0"/>
                <w:numId w:val="8"/>
              </w:numPr>
              <w:spacing w:line="240" w:lineRule="auto"/>
              <w:ind w:left="576" w:hanging="216"/>
            </w:pPr>
          </w:p>
          <w:p w14:paraId="119EFA0F" w14:textId="4FBA7A7F" w:rsidR="00764FF2" w:rsidRPr="00245034" w:rsidRDefault="00245034" w:rsidP="00245034">
            <w:pPr>
              <w:widowControl w:val="0"/>
              <w:spacing w:line="240" w:lineRule="auto"/>
              <w:ind w:left="576"/>
            </w:pPr>
            <w:r w:rsidRPr="00245034">
              <w:rPr>
                <w:sz w:val="18"/>
                <w:szCs w:val="18"/>
              </w:rPr>
              <w:t>Source: Equity-Minded Inquiry Series Syllabus Review</w:t>
            </w:r>
          </w:p>
          <w:p w14:paraId="1AEBBB09" w14:textId="77777777" w:rsidR="00764FF2" w:rsidRDefault="00764FF2" w:rsidP="006102A5">
            <w:pPr>
              <w:widowControl w:val="0"/>
              <w:pBdr>
                <w:top w:val="nil"/>
                <w:left w:val="nil"/>
                <w:bottom w:val="nil"/>
                <w:right w:val="nil"/>
                <w:between w:val="nil"/>
              </w:pBdr>
              <w:spacing w:line="240" w:lineRule="auto"/>
            </w:pPr>
          </w:p>
          <w:p w14:paraId="427B6E3F" w14:textId="77777777" w:rsidR="00764FF2" w:rsidRDefault="00245034" w:rsidP="006102A5">
            <w:pPr>
              <w:widowControl w:val="0"/>
              <w:pBdr>
                <w:top w:val="nil"/>
                <w:left w:val="nil"/>
                <w:bottom w:val="nil"/>
                <w:right w:val="nil"/>
                <w:between w:val="nil"/>
              </w:pBdr>
              <w:spacing w:line="240" w:lineRule="auto"/>
              <w:ind w:left="570" w:hanging="210"/>
              <w:rPr>
                <w:color w:val="1155CC"/>
                <w:sz w:val="18"/>
                <w:szCs w:val="18"/>
                <w:u w:val="single"/>
              </w:rPr>
            </w:pPr>
            <w:r w:rsidRPr="00EB6C5A">
              <w:rPr>
                <w:sz w:val="18"/>
                <w:szCs w:val="18"/>
              </w:rPr>
              <w:t xml:space="preserve">(For additional resources and models of </w:t>
            </w:r>
            <w:r w:rsidRPr="00EB6C5A">
              <w:rPr>
                <w:sz w:val="18"/>
                <w:szCs w:val="18"/>
              </w:rPr>
              <w:lastRenderedPageBreak/>
              <w:t xml:space="preserve">effective culturally responsive practices--see </w:t>
            </w:r>
            <w:hyperlink r:id="rId13">
              <w:r w:rsidRPr="00EB6C5A">
                <w:rPr>
                  <w:color w:val="1155CC"/>
                  <w:sz w:val="18"/>
                  <w:szCs w:val="18"/>
                  <w:u w:val="single"/>
                </w:rPr>
                <w:t xml:space="preserve">CUE Equity-minded Inquiry Series Syllabus) </w:t>
              </w:r>
            </w:hyperlink>
          </w:p>
          <w:p w14:paraId="1D0E7F1C" w14:textId="77777777" w:rsidR="00BC1EDB" w:rsidRDefault="00BC1EDB" w:rsidP="006102A5">
            <w:pPr>
              <w:widowControl w:val="0"/>
              <w:pBdr>
                <w:top w:val="nil"/>
                <w:left w:val="nil"/>
                <w:bottom w:val="nil"/>
                <w:right w:val="nil"/>
                <w:between w:val="nil"/>
              </w:pBdr>
              <w:spacing w:line="240" w:lineRule="auto"/>
              <w:ind w:left="570" w:hanging="210"/>
              <w:rPr>
                <w:color w:val="1155CC"/>
                <w:sz w:val="18"/>
                <w:szCs w:val="18"/>
                <w:u w:val="single"/>
              </w:rPr>
            </w:pPr>
          </w:p>
          <w:p w14:paraId="3AD98A64" w14:textId="09BEF02A" w:rsidR="00BC1EDB" w:rsidRPr="006102A5" w:rsidRDefault="00BC1EDB" w:rsidP="006102A5">
            <w:pPr>
              <w:widowControl w:val="0"/>
              <w:pBdr>
                <w:top w:val="nil"/>
                <w:left w:val="nil"/>
                <w:bottom w:val="nil"/>
                <w:right w:val="nil"/>
                <w:between w:val="nil"/>
              </w:pBdr>
              <w:spacing w:line="240" w:lineRule="auto"/>
              <w:ind w:left="570" w:hanging="210"/>
              <w:rPr>
                <w:sz w:val="18"/>
                <w:szCs w:val="18"/>
              </w:rPr>
            </w:pPr>
            <w:r>
              <w:rPr>
                <w:sz w:val="18"/>
                <w:szCs w:val="18"/>
              </w:rPr>
              <w:t xml:space="preserve">(For resources on creating social belonging and supporting the whole student see the </w:t>
            </w:r>
            <w:hyperlink r:id="rId14" w:history="1">
              <w:r w:rsidRPr="00BC1EDB">
                <w:rPr>
                  <w:rStyle w:val="Hyperlink"/>
                  <w:sz w:val="18"/>
                  <w:szCs w:val="18"/>
                </w:rPr>
                <w:t>College Transition Collaborative</w:t>
              </w:r>
            </w:hyperlink>
            <w:r>
              <w:rPr>
                <w:sz w:val="18"/>
                <w:szCs w:val="18"/>
              </w:rPr>
              <w:t xml:space="preserve">. </w:t>
            </w:r>
          </w:p>
        </w:tc>
        <w:tc>
          <w:tcPr>
            <w:tcW w:w="4590" w:type="dxa"/>
            <w:shd w:val="clear" w:color="auto" w:fill="auto"/>
            <w:tcMar>
              <w:top w:w="100" w:type="dxa"/>
              <w:left w:w="100" w:type="dxa"/>
              <w:bottom w:w="100" w:type="dxa"/>
              <w:right w:w="100" w:type="dxa"/>
            </w:tcMar>
          </w:tcPr>
          <w:p w14:paraId="469EE177" w14:textId="77777777" w:rsidR="00764FF2" w:rsidRDefault="00245034" w:rsidP="006102A5">
            <w:pPr>
              <w:widowControl w:val="0"/>
              <w:numPr>
                <w:ilvl w:val="0"/>
                <w:numId w:val="3"/>
              </w:numPr>
              <w:spacing w:line="240" w:lineRule="auto"/>
              <w:ind w:left="270" w:hanging="270"/>
            </w:pPr>
            <w:r>
              <w:lastRenderedPageBreak/>
              <w:t>Advocate with collective bargaining units to include culturally responsive practices in performance evaluations and/or peer reviews.</w:t>
            </w:r>
          </w:p>
          <w:p w14:paraId="583C627A" w14:textId="77777777" w:rsidR="00764FF2" w:rsidRDefault="00245034" w:rsidP="006102A5">
            <w:pPr>
              <w:widowControl w:val="0"/>
              <w:numPr>
                <w:ilvl w:val="0"/>
                <w:numId w:val="3"/>
              </w:numPr>
              <w:spacing w:line="240" w:lineRule="auto"/>
              <w:ind w:left="270" w:hanging="270"/>
            </w:pPr>
            <w:r>
              <w:t>Provide professional development to support culturally responsive practices.</w:t>
            </w:r>
          </w:p>
        </w:tc>
      </w:tr>
      <w:tr w:rsidR="00764FF2" w14:paraId="6A298C9C" w14:textId="77777777">
        <w:trPr>
          <w:trHeight w:val="1080"/>
        </w:trPr>
        <w:tc>
          <w:tcPr>
            <w:tcW w:w="2490" w:type="dxa"/>
            <w:shd w:val="clear" w:color="auto" w:fill="auto"/>
            <w:tcMar>
              <w:top w:w="100" w:type="dxa"/>
              <w:left w:w="100" w:type="dxa"/>
              <w:bottom w:w="100" w:type="dxa"/>
              <w:right w:w="100" w:type="dxa"/>
            </w:tcMar>
          </w:tcPr>
          <w:p w14:paraId="1147BF01" w14:textId="77777777" w:rsidR="00764FF2" w:rsidRDefault="00245034" w:rsidP="006102A5">
            <w:pPr>
              <w:widowControl w:val="0"/>
              <w:numPr>
                <w:ilvl w:val="0"/>
                <w:numId w:val="4"/>
              </w:numPr>
              <w:pBdr>
                <w:top w:val="nil"/>
                <w:left w:val="nil"/>
                <w:bottom w:val="nil"/>
                <w:right w:val="nil"/>
                <w:between w:val="nil"/>
              </w:pBdr>
              <w:spacing w:line="240" w:lineRule="auto"/>
              <w:ind w:left="200" w:hanging="200"/>
            </w:pPr>
            <w:r>
              <w:lastRenderedPageBreak/>
              <w:t>Classroom experiences, assignments, and assessments are built from an individualist perspective</w:t>
            </w:r>
          </w:p>
        </w:tc>
        <w:tc>
          <w:tcPr>
            <w:tcW w:w="2535" w:type="dxa"/>
            <w:shd w:val="clear" w:color="auto" w:fill="auto"/>
            <w:tcMar>
              <w:top w:w="100" w:type="dxa"/>
              <w:left w:w="100" w:type="dxa"/>
              <w:bottom w:w="100" w:type="dxa"/>
              <w:right w:w="100" w:type="dxa"/>
            </w:tcMar>
          </w:tcPr>
          <w:p w14:paraId="08774E00" w14:textId="1A544D7F" w:rsidR="00764FF2" w:rsidRDefault="00245034" w:rsidP="006102A5">
            <w:pPr>
              <w:widowControl w:val="0"/>
              <w:numPr>
                <w:ilvl w:val="0"/>
                <w:numId w:val="12"/>
              </w:numPr>
              <w:pBdr>
                <w:top w:val="nil"/>
                <w:left w:val="nil"/>
                <w:bottom w:val="nil"/>
                <w:right w:val="nil"/>
                <w:between w:val="nil"/>
              </w:pBdr>
              <w:spacing w:line="240" w:lineRule="auto"/>
              <w:ind w:left="270" w:hanging="230"/>
            </w:pPr>
            <w:r>
              <w:t xml:space="preserve">Shift to </w:t>
            </w:r>
            <w:r w:rsidR="007C4003">
              <w:t xml:space="preserve">a </w:t>
            </w:r>
            <w:r>
              <w:t xml:space="preserve">collectivism </w:t>
            </w:r>
            <w:r w:rsidR="007C4003">
              <w:t xml:space="preserve">perspective </w:t>
            </w:r>
            <w:r>
              <w:t xml:space="preserve">to engage authentic lived experiences </w:t>
            </w:r>
            <w:r w:rsidR="00680727">
              <w:t xml:space="preserve">and relate to </w:t>
            </w:r>
            <w:proofErr w:type="gramStart"/>
            <w:r w:rsidR="00680727">
              <w:t>students</w:t>
            </w:r>
            <w:proofErr w:type="gramEnd"/>
            <w:r w:rsidR="00680727">
              <w:t xml:space="preserve"> cultural norms</w:t>
            </w:r>
          </w:p>
        </w:tc>
        <w:tc>
          <w:tcPr>
            <w:tcW w:w="4350" w:type="dxa"/>
            <w:shd w:val="clear" w:color="auto" w:fill="auto"/>
            <w:tcMar>
              <w:top w:w="100" w:type="dxa"/>
              <w:left w:w="100" w:type="dxa"/>
              <w:bottom w:w="100" w:type="dxa"/>
              <w:right w:w="100" w:type="dxa"/>
            </w:tcMar>
          </w:tcPr>
          <w:p w14:paraId="63F81829" w14:textId="2F2DB36A" w:rsidR="00764FF2" w:rsidRDefault="00245034">
            <w:pPr>
              <w:widowControl w:val="0"/>
              <w:numPr>
                <w:ilvl w:val="0"/>
                <w:numId w:val="12"/>
              </w:numPr>
              <w:pBdr>
                <w:top w:val="nil"/>
                <w:left w:val="nil"/>
                <w:bottom w:val="nil"/>
                <w:right w:val="nil"/>
                <w:between w:val="nil"/>
              </w:pBdr>
              <w:spacing w:line="240" w:lineRule="auto"/>
              <w:ind w:left="270" w:hanging="270"/>
            </w:pPr>
            <w:r>
              <w:t xml:space="preserve">Build on diverse backgrounds to engage as a </w:t>
            </w:r>
            <w:proofErr w:type="spellStart"/>
            <w:r>
              <w:t>familia</w:t>
            </w:r>
            <w:proofErr w:type="spellEnd"/>
            <w:r>
              <w:t>, tribe, village through collaborative classroom activities.</w:t>
            </w:r>
          </w:p>
          <w:p w14:paraId="3FC3C5A5" w14:textId="77777777" w:rsidR="00764FF2" w:rsidRPr="005D2555" w:rsidRDefault="00245034">
            <w:pPr>
              <w:widowControl w:val="0"/>
              <w:numPr>
                <w:ilvl w:val="0"/>
                <w:numId w:val="12"/>
              </w:numPr>
              <w:pBdr>
                <w:top w:val="nil"/>
                <w:left w:val="nil"/>
                <w:bottom w:val="nil"/>
                <w:right w:val="nil"/>
                <w:between w:val="nil"/>
              </w:pBdr>
              <w:spacing w:line="240" w:lineRule="auto"/>
              <w:ind w:left="270" w:hanging="270"/>
            </w:pPr>
            <w:r w:rsidRPr="005D2555">
              <w:t>Be a warm demander and co-learner with students.</w:t>
            </w:r>
          </w:p>
          <w:p w14:paraId="5482223B" w14:textId="77777777" w:rsidR="00764FF2" w:rsidRDefault="00245034">
            <w:pPr>
              <w:widowControl w:val="0"/>
              <w:numPr>
                <w:ilvl w:val="0"/>
                <w:numId w:val="12"/>
              </w:numPr>
              <w:pBdr>
                <w:top w:val="nil"/>
                <w:left w:val="nil"/>
                <w:bottom w:val="nil"/>
                <w:right w:val="nil"/>
                <w:between w:val="nil"/>
              </w:pBdr>
              <w:spacing w:line="240" w:lineRule="auto"/>
              <w:ind w:left="270" w:hanging="270"/>
              <w:rPr>
                <w:color w:val="333333"/>
              </w:rPr>
            </w:pPr>
            <w:r w:rsidRPr="005D2555">
              <w:t>Intentionally create collaborative engagement opportunities (e.g., group work, peer to peer work, pair shares, etc.)</w:t>
            </w:r>
          </w:p>
        </w:tc>
        <w:tc>
          <w:tcPr>
            <w:tcW w:w="4590" w:type="dxa"/>
            <w:shd w:val="clear" w:color="auto" w:fill="auto"/>
            <w:tcMar>
              <w:top w:w="100" w:type="dxa"/>
              <w:left w:w="100" w:type="dxa"/>
              <w:bottom w:w="100" w:type="dxa"/>
              <w:right w:w="100" w:type="dxa"/>
            </w:tcMar>
          </w:tcPr>
          <w:p w14:paraId="1F6822BA" w14:textId="77777777" w:rsidR="00764FF2" w:rsidRDefault="00245034" w:rsidP="006102A5">
            <w:pPr>
              <w:widowControl w:val="0"/>
              <w:numPr>
                <w:ilvl w:val="0"/>
                <w:numId w:val="13"/>
              </w:numPr>
              <w:pBdr>
                <w:top w:val="nil"/>
                <w:left w:val="nil"/>
                <w:bottom w:val="nil"/>
                <w:right w:val="nil"/>
                <w:between w:val="nil"/>
              </w:pBdr>
              <w:spacing w:line="240" w:lineRule="auto"/>
              <w:ind w:left="180" w:hanging="180"/>
            </w:pPr>
            <w:r>
              <w:t xml:space="preserve">Encourage assignments, practices, and assessments that are formative in addition to summative. </w:t>
            </w:r>
          </w:p>
          <w:p w14:paraId="6473C791" w14:textId="77777777" w:rsidR="00764FF2" w:rsidRDefault="00245034" w:rsidP="006102A5">
            <w:pPr>
              <w:widowControl w:val="0"/>
              <w:numPr>
                <w:ilvl w:val="0"/>
                <w:numId w:val="13"/>
              </w:numPr>
              <w:pBdr>
                <w:top w:val="nil"/>
                <w:left w:val="nil"/>
                <w:bottom w:val="nil"/>
                <w:right w:val="nil"/>
                <w:between w:val="nil"/>
              </w:pBdr>
              <w:spacing w:line="240" w:lineRule="auto"/>
              <w:ind w:left="180" w:hanging="180"/>
            </w:pPr>
            <w:r>
              <w:t xml:space="preserve">Review for a variety of methods of evaluations, assignments, and assessments. </w:t>
            </w:r>
          </w:p>
          <w:p w14:paraId="7909059F" w14:textId="3D95B6EC" w:rsidR="00F419DA" w:rsidRDefault="00F419DA" w:rsidP="006102A5">
            <w:pPr>
              <w:widowControl w:val="0"/>
              <w:numPr>
                <w:ilvl w:val="0"/>
                <w:numId w:val="13"/>
              </w:numPr>
              <w:pBdr>
                <w:top w:val="nil"/>
                <w:left w:val="nil"/>
                <w:bottom w:val="nil"/>
                <w:right w:val="nil"/>
                <w:between w:val="nil"/>
              </w:pBdr>
              <w:spacing w:line="240" w:lineRule="auto"/>
              <w:ind w:left="180" w:hanging="180"/>
            </w:pPr>
            <w:r>
              <w:t xml:space="preserve">Encourage and provide professional development for the creation of authentic assessments. </w:t>
            </w:r>
          </w:p>
        </w:tc>
      </w:tr>
      <w:tr w:rsidR="00764FF2" w14:paraId="23B008DC" w14:textId="77777777">
        <w:trPr>
          <w:trHeight w:val="1080"/>
        </w:trPr>
        <w:tc>
          <w:tcPr>
            <w:tcW w:w="2490" w:type="dxa"/>
            <w:shd w:val="clear" w:color="auto" w:fill="auto"/>
            <w:tcMar>
              <w:top w:w="100" w:type="dxa"/>
              <w:left w:w="100" w:type="dxa"/>
              <w:bottom w:w="100" w:type="dxa"/>
              <w:right w:w="100" w:type="dxa"/>
            </w:tcMar>
          </w:tcPr>
          <w:p w14:paraId="57043395" w14:textId="77777777" w:rsidR="00764FF2" w:rsidRDefault="00245034" w:rsidP="006102A5">
            <w:pPr>
              <w:widowControl w:val="0"/>
              <w:numPr>
                <w:ilvl w:val="0"/>
                <w:numId w:val="14"/>
              </w:numPr>
              <w:pBdr>
                <w:top w:val="nil"/>
                <w:left w:val="nil"/>
                <w:bottom w:val="nil"/>
                <w:right w:val="nil"/>
                <w:between w:val="nil"/>
              </w:pBdr>
              <w:spacing w:line="240" w:lineRule="auto"/>
              <w:ind w:left="200" w:hanging="180"/>
            </w:pPr>
            <w:r>
              <w:t>Assumption that only certain disciplines can address antiracism, diversity, and equity</w:t>
            </w:r>
          </w:p>
          <w:p w14:paraId="573BBF15" w14:textId="77777777" w:rsidR="00764FF2" w:rsidRDefault="00245034" w:rsidP="006102A5">
            <w:pPr>
              <w:widowControl w:val="0"/>
              <w:numPr>
                <w:ilvl w:val="0"/>
                <w:numId w:val="14"/>
              </w:numPr>
              <w:pBdr>
                <w:top w:val="nil"/>
                <w:left w:val="nil"/>
                <w:bottom w:val="nil"/>
                <w:right w:val="nil"/>
                <w:between w:val="nil"/>
              </w:pBdr>
              <w:spacing w:line="240" w:lineRule="auto"/>
              <w:ind w:left="200" w:hanging="180"/>
            </w:pPr>
            <w:r>
              <w:t>Not recognizing ethnic studies as a well-established discipline</w:t>
            </w:r>
          </w:p>
        </w:tc>
        <w:tc>
          <w:tcPr>
            <w:tcW w:w="2535" w:type="dxa"/>
            <w:shd w:val="clear" w:color="auto" w:fill="auto"/>
            <w:tcMar>
              <w:top w:w="100" w:type="dxa"/>
              <w:left w:w="100" w:type="dxa"/>
              <w:bottom w:w="100" w:type="dxa"/>
              <w:right w:w="100" w:type="dxa"/>
            </w:tcMar>
          </w:tcPr>
          <w:p w14:paraId="2A1E6E4F" w14:textId="0748BEC8" w:rsidR="00764FF2" w:rsidRDefault="00245034" w:rsidP="006102A5">
            <w:pPr>
              <w:widowControl w:val="0"/>
              <w:numPr>
                <w:ilvl w:val="0"/>
                <w:numId w:val="14"/>
              </w:numPr>
              <w:pBdr>
                <w:top w:val="nil"/>
                <w:left w:val="nil"/>
                <w:bottom w:val="nil"/>
                <w:right w:val="nil"/>
                <w:between w:val="nil"/>
              </w:pBdr>
              <w:spacing w:line="240" w:lineRule="auto"/>
              <w:ind w:left="220" w:hanging="220"/>
            </w:pPr>
            <w:r>
              <w:t>Weav</w:t>
            </w:r>
            <w:r w:rsidR="00144DBC">
              <w:t>e</w:t>
            </w:r>
            <w:r>
              <w:t xml:space="preserve"> DEI and culturally responsive practice into every course </w:t>
            </w:r>
          </w:p>
          <w:p w14:paraId="6C7A92D4" w14:textId="0CCBA6E5" w:rsidR="00764FF2" w:rsidRDefault="00245034" w:rsidP="006102A5">
            <w:pPr>
              <w:widowControl w:val="0"/>
              <w:numPr>
                <w:ilvl w:val="0"/>
                <w:numId w:val="14"/>
              </w:numPr>
              <w:pBdr>
                <w:top w:val="nil"/>
                <w:left w:val="nil"/>
                <w:bottom w:val="nil"/>
                <w:right w:val="nil"/>
                <w:between w:val="nil"/>
              </w:pBdr>
              <w:spacing w:line="240" w:lineRule="auto"/>
              <w:ind w:left="220" w:hanging="220"/>
              <w:rPr>
                <w:color w:val="333333"/>
              </w:rPr>
            </w:pPr>
            <w:r>
              <w:rPr>
                <w:color w:val="333333"/>
              </w:rPr>
              <w:t xml:space="preserve">Intentionally </w:t>
            </w:r>
            <w:r w:rsidRPr="002D4695">
              <w:t xml:space="preserve">design ethnic studies courses with discipline experts, where critical race theory is a foundation </w:t>
            </w:r>
          </w:p>
        </w:tc>
        <w:tc>
          <w:tcPr>
            <w:tcW w:w="4350" w:type="dxa"/>
            <w:shd w:val="clear" w:color="auto" w:fill="auto"/>
            <w:tcMar>
              <w:top w:w="100" w:type="dxa"/>
              <w:left w:w="100" w:type="dxa"/>
              <w:bottom w:w="100" w:type="dxa"/>
              <w:right w:w="100" w:type="dxa"/>
            </w:tcMar>
          </w:tcPr>
          <w:p w14:paraId="355FCFD1" w14:textId="77777777" w:rsidR="00764FF2" w:rsidRDefault="00245034" w:rsidP="006102A5">
            <w:pPr>
              <w:widowControl w:val="0"/>
              <w:numPr>
                <w:ilvl w:val="0"/>
                <w:numId w:val="11"/>
              </w:numPr>
              <w:pBdr>
                <w:top w:val="nil"/>
                <w:left w:val="nil"/>
                <w:bottom w:val="nil"/>
                <w:right w:val="nil"/>
                <w:between w:val="nil"/>
              </w:pBdr>
              <w:spacing w:line="240" w:lineRule="auto"/>
              <w:ind w:left="300" w:hanging="300"/>
            </w:pPr>
            <w:r>
              <w:t xml:space="preserve">Use culturally responsive practices and a social justice lens in all disciplines. </w:t>
            </w:r>
          </w:p>
          <w:p w14:paraId="37B4680F" w14:textId="3437302F" w:rsidR="00764FF2" w:rsidRDefault="00245034" w:rsidP="006102A5">
            <w:pPr>
              <w:widowControl w:val="0"/>
              <w:numPr>
                <w:ilvl w:val="0"/>
                <w:numId w:val="11"/>
              </w:numPr>
              <w:pBdr>
                <w:top w:val="nil"/>
                <w:left w:val="nil"/>
                <w:bottom w:val="nil"/>
                <w:right w:val="nil"/>
                <w:between w:val="nil"/>
              </w:pBdr>
              <w:spacing w:line="240" w:lineRule="auto"/>
              <w:ind w:left="300" w:hanging="300"/>
            </w:pPr>
            <w:r>
              <w:t>Create ethnic studies courses that rely on ethnic studies discipline experts to maintain the integrity of the ethnic studies discipline</w:t>
            </w:r>
            <w:r w:rsidR="002D4695">
              <w:t>s</w:t>
            </w:r>
            <w:r>
              <w:t>.</w:t>
            </w:r>
          </w:p>
          <w:p w14:paraId="444050DE" w14:textId="519B23BB" w:rsidR="002D4695" w:rsidRPr="002D4695" w:rsidRDefault="002D4695" w:rsidP="002D4695">
            <w:pPr>
              <w:widowControl w:val="0"/>
              <w:numPr>
                <w:ilvl w:val="0"/>
                <w:numId w:val="11"/>
              </w:numPr>
              <w:pBdr>
                <w:top w:val="nil"/>
                <w:left w:val="nil"/>
                <w:bottom w:val="nil"/>
                <w:right w:val="nil"/>
                <w:between w:val="nil"/>
              </w:pBdr>
              <w:spacing w:line="240" w:lineRule="auto"/>
              <w:ind w:left="300" w:hanging="300"/>
              <w:rPr>
                <w:lang w:val="en-US"/>
              </w:rPr>
            </w:pPr>
            <w:r>
              <w:t xml:space="preserve">Honor and respect the ethnic studies disciplines by focusing on </w:t>
            </w:r>
            <w:r w:rsidR="00BC1EDB" w:rsidRPr="002D4695">
              <w:rPr>
                <w:lang w:val="en-US"/>
              </w:rPr>
              <w:t>African American/Africana/Black Studies</w:t>
            </w:r>
            <w:r>
              <w:rPr>
                <w:lang w:val="en-US"/>
              </w:rPr>
              <w:t xml:space="preserve">, </w:t>
            </w:r>
            <w:r w:rsidR="00BC1EDB" w:rsidRPr="002D4695">
              <w:rPr>
                <w:lang w:val="en-US"/>
              </w:rPr>
              <w:t>American Indian/Native American Studies</w:t>
            </w:r>
            <w:r>
              <w:rPr>
                <w:lang w:val="en-US"/>
              </w:rPr>
              <w:t xml:space="preserve">, </w:t>
            </w:r>
            <w:r w:rsidR="00BC1EDB" w:rsidRPr="002D4695">
              <w:rPr>
                <w:lang w:val="en-US"/>
              </w:rPr>
              <w:t>Asian American Studies</w:t>
            </w:r>
            <w:r>
              <w:rPr>
                <w:lang w:val="en-US"/>
              </w:rPr>
              <w:t xml:space="preserve">, and </w:t>
            </w:r>
            <w:r w:rsidR="00BC1EDB" w:rsidRPr="002D4695">
              <w:rPr>
                <w:lang w:val="en-US"/>
              </w:rPr>
              <w:lastRenderedPageBreak/>
              <w:t>Chicano/a/Latino/Mexican American Studies</w:t>
            </w:r>
          </w:p>
          <w:p w14:paraId="1F08C6D7" w14:textId="77777777" w:rsidR="00764FF2" w:rsidRDefault="00764FF2">
            <w:pPr>
              <w:widowControl w:val="0"/>
              <w:pBdr>
                <w:top w:val="nil"/>
                <w:left w:val="nil"/>
                <w:bottom w:val="nil"/>
                <w:right w:val="nil"/>
                <w:between w:val="nil"/>
              </w:pBdr>
              <w:spacing w:line="240" w:lineRule="auto"/>
            </w:pPr>
          </w:p>
          <w:p w14:paraId="2EC0F335" w14:textId="77777777" w:rsidR="00764FF2" w:rsidRDefault="00245034">
            <w:pPr>
              <w:widowControl w:val="0"/>
              <w:pBdr>
                <w:top w:val="nil"/>
                <w:left w:val="nil"/>
                <w:bottom w:val="nil"/>
                <w:right w:val="nil"/>
                <w:between w:val="nil"/>
              </w:pBdr>
              <w:spacing w:line="240" w:lineRule="auto"/>
            </w:pPr>
            <w:r>
              <w:t xml:space="preserve"> </w:t>
            </w:r>
          </w:p>
        </w:tc>
        <w:tc>
          <w:tcPr>
            <w:tcW w:w="4590" w:type="dxa"/>
            <w:shd w:val="clear" w:color="auto" w:fill="auto"/>
            <w:tcMar>
              <w:top w:w="100" w:type="dxa"/>
              <w:left w:w="100" w:type="dxa"/>
              <w:bottom w:w="100" w:type="dxa"/>
              <w:right w:w="100" w:type="dxa"/>
            </w:tcMar>
          </w:tcPr>
          <w:p w14:paraId="3B3F0E92" w14:textId="77777777" w:rsidR="00764FF2" w:rsidRDefault="00245034" w:rsidP="006102A5">
            <w:pPr>
              <w:widowControl w:val="0"/>
              <w:numPr>
                <w:ilvl w:val="0"/>
                <w:numId w:val="15"/>
              </w:numPr>
              <w:pBdr>
                <w:top w:val="nil"/>
                <w:left w:val="nil"/>
                <w:bottom w:val="nil"/>
                <w:right w:val="nil"/>
                <w:between w:val="nil"/>
              </w:pBdr>
              <w:spacing w:line="240" w:lineRule="auto"/>
              <w:ind w:left="180" w:hanging="180"/>
            </w:pPr>
            <w:r>
              <w:lastRenderedPageBreak/>
              <w:t>Ensure that all classes and curriculum engage in equity work and culturally responsive content and practices.</w:t>
            </w:r>
          </w:p>
          <w:p w14:paraId="7D1EDA77" w14:textId="77777777" w:rsidR="00764FF2" w:rsidRDefault="00245034" w:rsidP="006102A5">
            <w:pPr>
              <w:widowControl w:val="0"/>
              <w:numPr>
                <w:ilvl w:val="0"/>
                <w:numId w:val="15"/>
              </w:numPr>
              <w:pBdr>
                <w:top w:val="nil"/>
                <w:left w:val="nil"/>
                <w:bottom w:val="nil"/>
                <w:right w:val="nil"/>
                <w:between w:val="nil"/>
              </w:pBdr>
              <w:spacing w:line="240" w:lineRule="auto"/>
              <w:ind w:left="180" w:hanging="180"/>
            </w:pPr>
            <w:r>
              <w:t>Maintain the fidelity of ethnic studies as a well-established discipline.</w:t>
            </w:r>
          </w:p>
        </w:tc>
      </w:tr>
      <w:tr w:rsidR="00764FF2" w14:paraId="7818B66E" w14:textId="77777777">
        <w:trPr>
          <w:trHeight w:val="1080"/>
        </w:trPr>
        <w:tc>
          <w:tcPr>
            <w:tcW w:w="2490" w:type="dxa"/>
            <w:shd w:val="clear" w:color="auto" w:fill="auto"/>
            <w:tcMar>
              <w:top w:w="100" w:type="dxa"/>
              <w:left w:w="100" w:type="dxa"/>
              <w:bottom w:w="100" w:type="dxa"/>
              <w:right w:w="100" w:type="dxa"/>
            </w:tcMar>
          </w:tcPr>
          <w:p w14:paraId="33509CB1" w14:textId="77777777" w:rsidR="00764FF2" w:rsidRDefault="00245034" w:rsidP="006102A5">
            <w:pPr>
              <w:widowControl w:val="0"/>
              <w:numPr>
                <w:ilvl w:val="0"/>
                <w:numId w:val="20"/>
              </w:numPr>
              <w:pBdr>
                <w:top w:val="nil"/>
                <w:left w:val="nil"/>
                <w:bottom w:val="nil"/>
                <w:right w:val="nil"/>
                <w:between w:val="nil"/>
              </w:pBdr>
              <w:spacing w:line="240" w:lineRule="auto"/>
              <w:ind w:left="290" w:hanging="290"/>
            </w:pPr>
            <w:r>
              <w:t xml:space="preserve">Siloed programs </w:t>
            </w:r>
            <w:r>
              <w:rPr>
                <w:color w:val="333333"/>
              </w:rPr>
              <w:t>and services</w:t>
            </w:r>
            <w:r>
              <w:t xml:space="preserve"> </w:t>
            </w:r>
          </w:p>
        </w:tc>
        <w:tc>
          <w:tcPr>
            <w:tcW w:w="2535" w:type="dxa"/>
            <w:shd w:val="clear" w:color="auto" w:fill="auto"/>
            <w:tcMar>
              <w:top w:w="100" w:type="dxa"/>
              <w:left w:w="100" w:type="dxa"/>
              <w:bottom w:w="100" w:type="dxa"/>
              <w:right w:w="100" w:type="dxa"/>
            </w:tcMar>
          </w:tcPr>
          <w:p w14:paraId="3697F1B1" w14:textId="7BCE676B" w:rsidR="00764FF2" w:rsidRDefault="00245034" w:rsidP="006102A5">
            <w:pPr>
              <w:widowControl w:val="0"/>
              <w:numPr>
                <w:ilvl w:val="0"/>
                <w:numId w:val="18"/>
              </w:numPr>
              <w:pBdr>
                <w:top w:val="nil"/>
                <w:left w:val="nil"/>
                <w:bottom w:val="nil"/>
                <w:right w:val="nil"/>
                <w:between w:val="nil"/>
              </w:pBdr>
              <w:spacing w:line="240" w:lineRule="auto"/>
              <w:ind w:left="220" w:hanging="220"/>
            </w:pPr>
            <w:r>
              <w:t>Us</w:t>
            </w:r>
            <w:r w:rsidR="00BC1EDB">
              <w:t>e</w:t>
            </w:r>
            <w:r>
              <w:t xml:space="preserve"> Guided Pathways frameworks</w:t>
            </w:r>
          </w:p>
          <w:p w14:paraId="7E1FE066" w14:textId="77777777" w:rsidR="00764FF2" w:rsidRDefault="00764FF2">
            <w:pPr>
              <w:widowControl w:val="0"/>
              <w:pBdr>
                <w:top w:val="nil"/>
                <w:left w:val="nil"/>
                <w:bottom w:val="nil"/>
                <w:right w:val="nil"/>
                <w:between w:val="nil"/>
              </w:pBdr>
              <w:spacing w:line="240" w:lineRule="auto"/>
            </w:pPr>
          </w:p>
          <w:p w14:paraId="27F0A5BD" w14:textId="77777777" w:rsidR="00764FF2" w:rsidRDefault="00764FF2">
            <w:pPr>
              <w:widowControl w:val="0"/>
              <w:pBdr>
                <w:top w:val="nil"/>
                <w:left w:val="nil"/>
                <w:bottom w:val="nil"/>
                <w:right w:val="nil"/>
                <w:between w:val="nil"/>
              </w:pBdr>
              <w:spacing w:line="240" w:lineRule="auto"/>
              <w:rPr>
                <w:color w:val="9900FF"/>
              </w:rPr>
            </w:pPr>
          </w:p>
          <w:p w14:paraId="561300BA" w14:textId="77777777" w:rsidR="00764FF2" w:rsidRDefault="00764FF2">
            <w:pPr>
              <w:widowControl w:val="0"/>
              <w:pBdr>
                <w:top w:val="nil"/>
                <w:left w:val="nil"/>
                <w:bottom w:val="nil"/>
                <w:right w:val="nil"/>
                <w:between w:val="nil"/>
              </w:pBdr>
              <w:spacing w:line="240" w:lineRule="auto"/>
            </w:pPr>
          </w:p>
          <w:p w14:paraId="320FBAD6" w14:textId="77777777" w:rsidR="00764FF2" w:rsidRDefault="00764FF2">
            <w:pPr>
              <w:widowControl w:val="0"/>
              <w:pBdr>
                <w:top w:val="nil"/>
                <w:left w:val="nil"/>
                <w:bottom w:val="nil"/>
                <w:right w:val="nil"/>
                <w:between w:val="nil"/>
              </w:pBdr>
              <w:spacing w:line="240" w:lineRule="auto"/>
            </w:pPr>
          </w:p>
        </w:tc>
        <w:tc>
          <w:tcPr>
            <w:tcW w:w="4350" w:type="dxa"/>
            <w:shd w:val="clear" w:color="auto" w:fill="auto"/>
            <w:tcMar>
              <w:top w:w="100" w:type="dxa"/>
              <w:left w:w="100" w:type="dxa"/>
              <w:bottom w:w="100" w:type="dxa"/>
              <w:right w:w="100" w:type="dxa"/>
            </w:tcMar>
          </w:tcPr>
          <w:p w14:paraId="207F605D" w14:textId="77777777" w:rsidR="00764FF2" w:rsidRDefault="00245034" w:rsidP="006102A5">
            <w:pPr>
              <w:widowControl w:val="0"/>
              <w:numPr>
                <w:ilvl w:val="0"/>
                <w:numId w:val="10"/>
              </w:numPr>
              <w:pBdr>
                <w:top w:val="nil"/>
                <w:left w:val="nil"/>
                <w:bottom w:val="nil"/>
                <w:right w:val="nil"/>
                <w:between w:val="nil"/>
              </w:pBdr>
              <w:spacing w:line="240" w:lineRule="auto"/>
              <w:ind w:left="210" w:hanging="210"/>
            </w:pPr>
            <w:r>
              <w:t>Rethink mapping and milestones within a student-centered focus.</w:t>
            </w:r>
          </w:p>
          <w:p w14:paraId="51A0813D" w14:textId="34A147ED" w:rsidR="00764FF2" w:rsidRDefault="00BC1EDB" w:rsidP="006102A5">
            <w:pPr>
              <w:widowControl w:val="0"/>
              <w:numPr>
                <w:ilvl w:val="0"/>
                <w:numId w:val="9"/>
              </w:numPr>
              <w:pBdr>
                <w:top w:val="nil"/>
                <w:left w:val="nil"/>
                <w:bottom w:val="nil"/>
                <w:right w:val="nil"/>
                <w:between w:val="nil"/>
              </w:pBdr>
              <w:spacing w:line="240" w:lineRule="auto"/>
              <w:ind w:left="210" w:hanging="210"/>
              <w:rPr>
                <w:color w:val="333333"/>
              </w:rPr>
            </w:pPr>
            <w:r>
              <w:rPr>
                <w:color w:val="333333"/>
              </w:rPr>
              <w:t xml:space="preserve">Utilize the </w:t>
            </w:r>
            <w:r w:rsidR="00245034">
              <w:rPr>
                <w:color w:val="333333"/>
              </w:rPr>
              <w:t xml:space="preserve">resources </w:t>
            </w:r>
            <w:r>
              <w:rPr>
                <w:color w:val="333333"/>
              </w:rPr>
              <w:t xml:space="preserve">available </w:t>
            </w:r>
            <w:r w:rsidR="00245034">
              <w:rPr>
                <w:color w:val="333333"/>
              </w:rPr>
              <w:t xml:space="preserve">to do the work (SEA, Flex, division/deans funds, </w:t>
            </w:r>
            <w:r>
              <w:rPr>
                <w:color w:val="333333"/>
              </w:rPr>
              <w:t xml:space="preserve">guided pathways funds, </w:t>
            </w:r>
            <w:r w:rsidR="00245034">
              <w:rPr>
                <w:color w:val="333333"/>
              </w:rPr>
              <w:t>and ASCCC local senate visits).</w:t>
            </w:r>
          </w:p>
          <w:p w14:paraId="158AD682" w14:textId="77777777" w:rsidR="00764FF2" w:rsidRDefault="00764FF2">
            <w:pPr>
              <w:widowControl w:val="0"/>
              <w:pBdr>
                <w:top w:val="nil"/>
                <w:left w:val="nil"/>
                <w:bottom w:val="nil"/>
                <w:right w:val="nil"/>
                <w:between w:val="nil"/>
              </w:pBdr>
              <w:spacing w:line="240" w:lineRule="auto"/>
            </w:pPr>
          </w:p>
        </w:tc>
        <w:tc>
          <w:tcPr>
            <w:tcW w:w="4590" w:type="dxa"/>
            <w:shd w:val="clear" w:color="auto" w:fill="auto"/>
            <w:tcMar>
              <w:top w:w="100" w:type="dxa"/>
              <w:left w:w="100" w:type="dxa"/>
              <w:bottom w:w="100" w:type="dxa"/>
              <w:right w:w="100" w:type="dxa"/>
            </w:tcMar>
          </w:tcPr>
          <w:p w14:paraId="0A53E86F" w14:textId="77777777" w:rsidR="00764FF2" w:rsidRDefault="00245034" w:rsidP="006102A5">
            <w:pPr>
              <w:widowControl w:val="0"/>
              <w:numPr>
                <w:ilvl w:val="0"/>
                <w:numId w:val="9"/>
              </w:numPr>
              <w:spacing w:line="240" w:lineRule="auto"/>
              <w:ind w:left="270" w:hanging="270"/>
              <w:rPr>
                <w:color w:val="333333"/>
              </w:rPr>
            </w:pPr>
            <w:r>
              <w:rPr>
                <w:color w:val="333333"/>
              </w:rPr>
              <w:t>Explicitly include DEI practices in program review, curriculum committee, senate, and shared governance meetings to discuss DEI in curriculum and program needs</w:t>
            </w:r>
          </w:p>
          <w:p w14:paraId="5008AE6F" w14:textId="77777777" w:rsidR="00764FF2" w:rsidRDefault="00245034" w:rsidP="006102A5">
            <w:pPr>
              <w:widowControl w:val="0"/>
              <w:numPr>
                <w:ilvl w:val="0"/>
                <w:numId w:val="9"/>
              </w:numPr>
              <w:spacing w:line="240" w:lineRule="auto"/>
              <w:ind w:left="270" w:hanging="270"/>
              <w:rPr>
                <w:color w:val="333333"/>
              </w:rPr>
            </w:pPr>
            <w:r>
              <w:rPr>
                <w:color w:val="333333"/>
              </w:rPr>
              <w:t>Involve students in the Guided Pathways decision making process</w:t>
            </w:r>
          </w:p>
        </w:tc>
      </w:tr>
    </w:tbl>
    <w:p w14:paraId="671B9F8E" w14:textId="53C0E157" w:rsidR="00764FF2" w:rsidRDefault="00B1257B">
      <w:pPr>
        <w:pStyle w:val="Heading1"/>
        <w:rPr>
          <w:sz w:val="28"/>
          <w:szCs w:val="28"/>
        </w:rPr>
      </w:pPr>
      <w:r>
        <w:rPr>
          <w:sz w:val="28"/>
          <w:szCs w:val="28"/>
        </w:rPr>
        <w:t>Glossary of Terms</w:t>
      </w:r>
      <w:r w:rsidR="00245034">
        <w:rPr>
          <w:sz w:val="28"/>
          <w:szCs w:val="28"/>
        </w:rPr>
        <w:t>:</w:t>
      </w:r>
    </w:p>
    <w:p w14:paraId="29C505B2" w14:textId="77777777" w:rsidR="00764FF2" w:rsidRPr="00B1257B" w:rsidRDefault="00245034">
      <w:pPr>
        <w:numPr>
          <w:ilvl w:val="0"/>
          <w:numId w:val="16"/>
        </w:numPr>
        <w:rPr>
          <w:sz w:val="20"/>
          <w:szCs w:val="20"/>
        </w:rPr>
      </w:pPr>
      <w:r w:rsidRPr="00B1257B">
        <w:rPr>
          <w:sz w:val="20"/>
          <w:szCs w:val="20"/>
        </w:rPr>
        <w:t xml:space="preserve">Collectivism - an individual's sense of connection to and responsibility for members of their group/community (Hofstede, 1984; </w:t>
      </w:r>
      <w:proofErr w:type="spellStart"/>
      <w:r w:rsidRPr="00B1257B">
        <w:rPr>
          <w:sz w:val="20"/>
          <w:szCs w:val="20"/>
        </w:rPr>
        <w:t>Triandis</w:t>
      </w:r>
      <w:proofErr w:type="spellEnd"/>
      <w:r w:rsidRPr="00B1257B">
        <w:rPr>
          <w:sz w:val="20"/>
          <w:szCs w:val="20"/>
        </w:rPr>
        <w:t>, 1995)</w:t>
      </w:r>
    </w:p>
    <w:p w14:paraId="067841DA" w14:textId="77777777" w:rsidR="00764FF2" w:rsidRPr="00B1257B" w:rsidRDefault="00245034">
      <w:pPr>
        <w:numPr>
          <w:ilvl w:val="0"/>
          <w:numId w:val="16"/>
        </w:numPr>
        <w:rPr>
          <w:sz w:val="20"/>
          <w:szCs w:val="20"/>
        </w:rPr>
      </w:pPr>
      <w:r w:rsidRPr="00B1257B">
        <w:rPr>
          <w:sz w:val="20"/>
          <w:szCs w:val="20"/>
        </w:rPr>
        <w:t xml:space="preserve">Critical race theory - </w:t>
      </w:r>
      <w:r w:rsidRPr="00B1257B">
        <w:rPr>
          <w:sz w:val="20"/>
          <w:szCs w:val="20"/>
          <w:highlight w:val="white"/>
        </w:rPr>
        <w:t>a way of seeing, attending to, accounting for, tracing and analyzing the ways that race is produced; the ways that racial inequality is facilitated, and the ways that our history has created these inequalities that now can be almost effortlessly reproduced unless we attend to the existence of these inequalities (Crenshaw, 2021 as cited in Fortin).</w:t>
      </w:r>
    </w:p>
    <w:p w14:paraId="4E8306E9" w14:textId="77777777" w:rsidR="00764FF2" w:rsidRPr="00B1257B" w:rsidRDefault="00245034">
      <w:pPr>
        <w:numPr>
          <w:ilvl w:val="0"/>
          <w:numId w:val="16"/>
        </w:numPr>
        <w:rPr>
          <w:sz w:val="20"/>
          <w:szCs w:val="20"/>
        </w:rPr>
      </w:pPr>
      <w:r w:rsidRPr="00B1257B">
        <w:rPr>
          <w:sz w:val="20"/>
          <w:szCs w:val="20"/>
        </w:rPr>
        <w:t xml:space="preserve">Culturally responsive teaching - an educator’s ability to recognize students’ cultural displays of learning and meaning making and respond positively and constructively with teaching moves that use cultural knowledge as a scaffold to connect what the student knows to new concepts and content </w:t>
      </w:r>
      <w:proofErr w:type="gramStart"/>
      <w:r w:rsidRPr="00B1257B">
        <w:rPr>
          <w:sz w:val="20"/>
          <w:szCs w:val="20"/>
        </w:rPr>
        <w:t>in order to</w:t>
      </w:r>
      <w:proofErr w:type="gramEnd"/>
      <w:r w:rsidRPr="00B1257B">
        <w:rPr>
          <w:sz w:val="20"/>
          <w:szCs w:val="20"/>
        </w:rPr>
        <w:t xml:space="preserve"> promote effective information processing . . . to create a safe space for learning. (Hammond, Z., 2015). </w:t>
      </w:r>
      <w:r w:rsidRPr="00B1257B">
        <w:rPr>
          <w:sz w:val="20"/>
          <w:szCs w:val="20"/>
          <w:highlight w:val="white"/>
        </w:rPr>
        <w:t xml:space="preserve"> </w:t>
      </w:r>
    </w:p>
    <w:p w14:paraId="13ACF3C3" w14:textId="77777777" w:rsidR="00764FF2" w:rsidRPr="00B1257B" w:rsidRDefault="00245034">
      <w:pPr>
        <w:numPr>
          <w:ilvl w:val="0"/>
          <w:numId w:val="16"/>
        </w:numPr>
        <w:rPr>
          <w:sz w:val="20"/>
          <w:szCs w:val="20"/>
        </w:rPr>
      </w:pPr>
      <w:r w:rsidRPr="00B1257B">
        <w:rPr>
          <w:sz w:val="20"/>
          <w:szCs w:val="20"/>
        </w:rPr>
        <w:t>Equity-minded -</w:t>
      </w:r>
      <w:hyperlink r:id="rId15">
        <w:r w:rsidRPr="00B1257B">
          <w:rPr>
            <w:sz w:val="20"/>
            <w:szCs w:val="20"/>
          </w:rPr>
          <w:t xml:space="preserve"> </w:t>
        </w:r>
      </w:hyperlink>
      <w:r w:rsidRPr="00B1257B">
        <w:rPr>
          <w:sz w:val="20"/>
          <w:szCs w:val="20"/>
        </w:rPr>
        <w:t xml:space="preserve">a schema that provides an alternative framework for understanding the causes of equity gaps in outcomes and the action needed to close them. Rather than attribute inequities in outcomes to student deficits, being equity-minded involves interpreting inequitable outcomes as a signal that practices are not working as intended. Inequities are eliminated through changes in institutional </w:t>
      </w:r>
      <w:r w:rsidRPr="00B1257B">
        <w:rPr>
          <w:sz w:val="20"/>
          <w:szCs w:val="20"/>
        </w:rPr>
        <w:lastRenderedPageBreak/>
        <w:t>practices, policies, culture, and routines. Equity-mindedness encompasses being (l) race conscious, (2) institutionally focused, (3) evidence based, (4) systemically aware, and (5) action oriented (CCCCO Diversity, Equity, and Inclusion Glossary of Terms).</w:t>
      </w:r>
    </w:p>
    <w:p w14:paraId="6D102E85" w14:textId="77777777" w:rsidR="00764FF2" w:rsidRPr="00B1257B" w:rsidRDefault="00245034">
      <w:pPr>
        <w:numPr>
          <w:ilvl w:val="0"/>
          <w:numId w:val="16"/>
        </w:numPr>
        <w:rPr>
          <w:sz w:val="20"/>
          <w:szCs w:val="20"/>
        </w:rPr>
      </w:pPr>
      <w:r w:rsidRPr="00B1257B">
        <w:rPr>
          <w:sz w:val="20"/>
          <w:szCs w:val="20"/>
        </w:rPr>
        <w:t xml:space="preserve">Euro-centric - privileging European or Westernized values and ways of knowing as the norm or “default” while marginalizing alternative perspectives, </w:t>
      </w:r>
      <w:proofErr w:type="gramStart"/>
      <w:r w:rsidRPr="00B1257B">
        <w:rPr>
          <w:sz w:val="20"/>
          <w:szCs w:val="20"/>
        </w:rPr>
        <w:t>histories</w:t>
      </w:r>
      <w:proofErr w:type="gramEnd"/>
      <w:r w:rsidRPr="00B1257B">
        <w:rPr>
          <w:sz w:val="20"/>
          <w:szCs w:val="20"/>
        </w:rPr>
        <w:t xml:space="preserve"> and knowledge.</w:t>
      </w:r>
    </w:p>
    <w:p w14:paraId="20D58460" w14:textId="77777777" w:rsidR="00764FF2" w:rsidRPr="00B1257B" w:rsidRDefault="00245034">
      <w:pPr>
        <w:numPr>
          <w:ilvl w:val="0"/>
          <w:numId w:val="16"/>
        </w:numPr>
        <w:rPr>
          <w:sz w:val="20"/>
          <w:szCs w:val="20"/>
        </w:rPr>
      </w:pPr>
      <w:r w:rsidRPr="00B1257B">
        <w:rPr>
          <w:sz w:val="20"/>
          <w:szCs w:val="20"/>
        </w:rPr>
        <w:t xml:space="preserve">Individualism - </w:t>
      </w:r>
      <w:r w:rsidRPr="00B1257B">
        <w:rPr>
          <w:sz w:val="20"/>
          <w:szCs w:val="20"/>
          <w:highlight w:val="white"/>
        </w:rPr>
        <w:t xml:space="preserve">the valuing of the individual over the value of groups or </w:t>
      </w:r>
      <w:proofErr w:type="gramStart"/>
      <w:r w:rsidRPr="00B1257B">
        <w:rPr>
          <w:sz w:val="20"/>
          <w:szCs w:val="20"/>
          <w:highlight w:val="white"/>
        </w:rPr>
        <w:t>society as a whole</w:t>
      </w:r>
      <w:proofErr w:type="gramEnd"/>
      <w:r w:rsidRPr="00B1257B">
        <w:rPr>
          <w:sz w:val="20"/>
          <w:szCs w:val="20"/>
        </w:rPr>
        <w:t xml:space="preserve"> (Griffiths, 2015).</w:t>
      </w:r>
    </w:p>
    <w:p w14:paraId="3A442B9F" w14:textId="77777777" w:rsidR="00764FF2" w:rsidRPr="00B1257B" w:rsidRDefault="00245034">
      <w:pPr>
        <w:numPr>
          <w:ilvl w:val="0"/>
          <w:numId w:val="16"/>
        </w:numPr>
        <w:rPr>
          <w:sz w:val="20"/>
          <w:szCs w:val="20"/>
        </w:rPr>
      </w:pPr>
      <w:r w:rsidRPr="00B1257B">
        <w:rPr>
          <w:sz w:val="20"/>
          <w:szCs w:val="20"/>
        </w:rPr>
        <w:t xml:space="preserve">Student-centered - </w:t>
      </w:r>
      <w:r w:rsidRPr="00B1257B">
        <w:rPr>
          <w:sz w:val="20"/>
          <w:szCs w:val="20"/>
          <w:highlight w:val="white"/>
        </w:rPr>
        <w:t>refers to a wide variety of educational programs,</w:t>
      </w:r>
      <w:hyperlink r:id="rId16">
        <w:r w:rsidRPr="00B1257B">
          <w:rPr>
            <w:sz w:val="20"/>
            <w:szCs w:val="20"/>
            <w:highlight w:val="white"/>
          </w:rPr>
          <w:t xml:space="preserve"> </w:t>
        </w:r>
      </w:hyperlink>
      <w:hyperlink r:id="rId17">
        <w:r w:rsidRPr="00B1257B">
          <w:rPr>
            <w:sz w:val="20"/>
            <w:szCs w:val="20"/>
            <w:highlight w:val="white"/>
            <w:u w:val="single"/>
          </w:rPr>
          <w:t>learning experiences</w:t>
        </w:r>
      </w:hyperlink>
      <w:r w:rsidRPr="00B1257B">
        <w:rPr>
          <w:sz w:val="20"/>
          <w:szCs w:val="20"/>
          <w:highlight w:val="white"/>
        </w:rPr>
        <w:t>, instructional approaches, and</w:t>
      </w:r>
      <w:hyperlink r:id="rId18">
        <w:r w:rsidRPr="00B1257B">
          <w:rPr>
            <w:sz w:val="20"/>
            <w:szCs w:val="20"/>
            <w:highlight w:val="white"/>
          </w:rPr>
          <w:t xml:space="preserve"> </w:t>
        </w:r>
      </w:hyperlink>
      <w:hyperlink r:id="rId19">
        <w:r w:rsidRPr="00B1257B">
          <w:rPr>
            <w:sz w:val="20"/>
            <w:szCs w:val="20"/>
            <w:highlight w:val="white"/>
            <w:u w:val="single"/>
          </w:rPr>
          <w:t>academic-support strategies</w:t>
        </w:r>
      </w:hyperlink>
      <w:r w:rsidRPr="00B1257B">
        <w:rPr>
          <w:sz w:val="20"/>
          <w:szCs w:val="20"/>
          <w:highlight w:val="white"/>
        </w:rPr>
        <w:t xml:space="preserve"> that are intended to address the distinct learning needs, interests, aspirations, or cultural backgrounds of individual students and groups of students.</w:t>
      </w:r>
    </w:p>
    <w:p w14:paraId="644A36F2" w14:textId="77777777" w:rsidR="00764FF2" w:rsidRPr="00B1257B" w:rsidRDefault="00245034">
      <w:pPr>
        <w:numPr>
          <w:ilvl w:val="0"/>
          <w:numId w:val="16"/>
        </w:numPr>
        <w:rPr>
          <w:sz w:val="20"/>
          <w:szCs w:val="20"/>
        </w:rPr>
      </w:pPr>
      <w:r w:rsidRPr="00B1257B">
        <w:rPr>
          <w:sz w:val="20"/>
          <w:szCs w:val="20"/>
        </w:rPr>
        <w:t xml:space="preserve">Warm demander - </w:t>
      </w:r>
      <w:r w:rsidRPr="00B1257B">
        <w:rPr>
          <w:sz w:val="20"/>
          <w:szCs w:val="20"/>
          <w:highlight w:val="white"/>
        </w:rPr>
        <w:t xml:space="preserve">a teacher who communicates personal warmth toward students while at the same time demands they work toward high standards. The teacher provides concrete guidance and support for meeting the standards, particularly corrective feedback, opportunities for information processing, and culturally relevant meaning making (Hammond, Z., 2015). </w:t>
      </w:r>
    </w:p>
    <w:p w14:paraId="0E2AC6FF" w14:textId="77777777" w:rsidR="00764FF2" w:rsidRPr="00B1257B" w:rsidRDefault="00245034">
      <w:pPr>
        <w:numPr>
          <w:ilvl w:val="0"/>
          <w:numId w:val="16"/>
        </w:numPr>
        <w:rPr>
          <w:sz w:val="20"/>
          <w:szCs w:val="20"/>
        </w:rPr>
      </w:pPr>
      <w:r w:rsidRPr="00B1257B">
        <w:rPr>
          <w:sz w:val="20"/>
          <w:szCs w:val="20"/>
        </w:rPr>
        <w:t xml:space="preserve">Warm handoffs - directly connecting students to campus resources and services; a transfer of care between two members of a care team; teachers providing direct contact names and information to connect students with service representatives such as in syllabi and course materials or directly introducing students to student service representatives with an intentional introduction. </w:t>
      </w:r>
    </w:p>
    <w:p w14:paraId="1A20D964" w14:textId="77777777" w:rsidR="00764FF2" w:rsidRPr="00B1257B" w:rsidRDefault="00245034">
      <w:pPr>
        <w:numPr>
          <w:ilvl w:val="0"/>
          <w:numId w:val="16"/>
        </w:numPr>
        <w:spacing w:after="240"/>
        <w:rPr>
          <w:sz w:val="20"/>
          <w:szCs w:val="20"/>
        </w:rPr>
      </w:pPr>
      <w:r w:rsidRPr="00B1257B">
        <w:rPr>
          <w:sz w:val="20"/>
          <w:szCs w:val="20"/>
        </w:rPr>
        <w:t xml:space="preserve">Watering up - </w:t>
      </w:r>
      <w:r w:rsidRPr="00B1257B">
        <w:rPr>
          <w:sz w:val="20"/>
          <w:szCs w:val="20"/>
          <w:highlight w:val="white"/>
        </w:rPr>
        <w:t xml:space="preserve">instructional practices with the science of learning that we can apprentice students to be active agents in their own learning, instead of watering them down with the compliance-oriented deficit views. This process requires students to build and braid together multiple neural, relational, and experiential processes to produce their own unique learning acceleration process (Hammond, Z., 2021). </w:t>
      </w:r>
    </w:p>
    <w:p w14:paraId="79408001" w14:textId="77777777" w:rsidR="00764FF2" w:rsidRPr="00B1257B" w:rsidRDefault="00245034">
      <w:pPr>
        <w:pStyle w:val="Heading1"/>
        <w:spacing w:after="240"/>
        <w:rPr>
          <w:sz w:val="24"/>
          <w:szCs w:val="24"/>
        </w:rPr>
      </w:pPr>
      <w:bookmarkStart w:id="4" w:name="_ngzv8khvv5o7" w:colFirst="0" w:colLast="0"/>
      <w:bookmarkEnd w:id="4"/>
      <w:r w:rsidRPr="00B1257B">
        <w:rPr>
          <w:sz w:val="24"/>
          <w:szCs w:val="24"/>
        </w:rPr>
        <w:t>References</w:t>
      </w:r>
    </w:p>
    <w:p w14:paraId="3A7BACC9" w14:textId="77777777" w:rsidR="00764FF2" w:rsidRPr="00B1257B" w:rsidRDefault="00245034">
      <w:pPr>
        <w:spacing w:after="240"/>
      </w:pPr>
      <w:r w:rsidRPr="00B1257B">
        <w:t xml:space="preserve">California Community College Chancellor’s Office. (2020). Diversity, Equity, and Inclusion Glossary of Terms. </w:t>
      </w:r>
      <w:hyperlink r:id="rId20">
        <w:r w:rsidRPr="00B1257B">
          <w:rPr>
            <w:color w:val="1155CC"/>
            <w:u w:val="single"/>
          </w:rPr>
          <w:t>https://www.cccco.edu/-/media/CCCCO-Website/Files/Communications/vision-for-success/8-dei-glossary-of-terms.pdf?la=en&amp;hash=21FCA99EAE353E6F481025115DC98272EAA36BA9</w:t>
        </w:r>
      </w:hyperlink>
      <w:r w:rsidRPr="00B1257B">
        <w:t xml:space="preserve">. </w:t>
      </w:r>
    </w:p>
    <w:p w14:paraId="35A06FC4" w14:textId="77777777" w:rsidR="00764FF2" w:rsidRPr="00B1257B" w:rsidRDefault="00245034">
      <w:pPr>
        <w:spacing w:after="240"/>
      </w:pPr>
      <w:r w:rsidRPr="00B1257B">
        <w:t xml:space="preserve">Fortin, J. (2021). What is critical race theory? </w:t>
      </w:r>
      <w:r w:rsidRPr="00B1257B">
        <w:rPr>
          <w:i/>
        </w:rPr>
        <w:t xml:space="preserve">New York Times. </w:t>
      </w:r>
      <w:hyperlink r:id="rId21">
        <w:r w:rsidRPr="00B1257B">
          <w:rPr>
            <w:color w:val="1155CC"/>
            <w:u w:val="single"/>
          </w:rPr>
          <w:t>https://www.nytimes.com/article/what-is-critical-race-theory.html</w:t>
        </w:r>
      </w:hyperlink>
      <w:r w:rsidRPr="00B1257B">
        <w:t xml:space="preserve">. </w:t>
      </w:r>
    </w:p>
    <w:p w14:paraId="66EC7663" w14:textId="77777777" w:rsidR="00764FF2" w:rsidRPr="00B1257B" w:rsidRDefault="00245034">
      <w:pPr>
        <w:spacing w:after="240"/>
        <w:rPr>
          <w:color w:val="333333"/>
          <w:highlight w:val="white"/>
        </w:rPr>
      </w:pPr>
      <w:r w:rsidRPr="00B1257B">
        <w:rPr>
          <w:color w:val="333333"/>
          <w:highlight w:val="white"/>
        </w:rPr>
        <w:t xml:space="preserve">Griffiths, H. et. al (2015). Theoretical perspectives on education. </w:t>
      </w:r>
      <w:r w:rsidRPr="00B1257B">
        <w:rPr>
          <w:i/>
          <w:color w:val="333333"/>
          <w:highlight w:val="white"/>
        </w:rPr>
        <w:t>Introduction to Sociology</w:t>
      </w:r>
      <w:r w:rsidRPr="00B1257B">
        <w:rPr>
          <w:color w:val="333333"/>
          <w:highlight w:val="white"/>
        </w:rPr>
        <w:t xml:space="preserve">. (2nd edition). </w:t>
      </w:r>
      <w:proofErr w:type="spellStart"/>
      <w:r w:rsidRPr="00B1257B">
        <w:rPr>
          <w:color w:val="333333"/>
          <w:highlight w:val="white"/>
        </w:rPr>
        <w:t>Openstax</w:t>
      </w:r>
      <w:proofErr w:type="spellEnd"/>
      <w:r w:rsidRPr="00B1257B">
        <w:rPr>
          <w:color w:val="333333"/>
          <w:highlight w:val="white"/>
        </w:rPr>
        <w:t xml:space="preserve">. </w:t>
      </w:r>
      <w:hyperlink r:id="rId22" w:anchor="import-auto-id1425924">
        <w:r w:rsidRPr="00B1257B">
          <w:rPr>
            <w:color w:val="1155CC"/>
            <w:highlight w:val="white"/>
            <w:u w:val="single"/>
          </w:rPr>
          <w:t>https://openstax.org/books/introduction-sociology-2e/pages/16-2-theoretical-perspectives-on-education?query=individualism&amp;target=%7B%22type%22%3A%22search%22%2C%22index%22%3A0%7D#import-auto-id1425924</w:t>
        </w:r>
      </w:hyperlink>
      <w:r w:rsidRPr="00B1257B">
        <w:rPr>
          <w:color w:val="333333"/>
          <w:highlight w:val="white"/>
        </w:rPr>
        <w:t xml:space="preserve">. </w:t>
      </w:r>
    </w:p>
    <w:p w14:paraId="1886990C" w14:textId="77777777" w:rsidR="00764FF2" w:rsidRPr="00B1257B" w:rsidRDefault="00245034">
      <w:pPr>
        <w:spacing w:after="240"/>
        <w:rPr>
          <w:color w:val="333333"/>
          <w:highlight w:val="white"/>
        </w:rPr>
      </w:pPr>
      <w:r w:rsidRPr="00B1257B">
        <w:rPr>
          <w:color w:val="333333"/>
          <w:highlight w:val="white"/>
        </w:rPr>
        <w:t xml:space="preserve">Hammond, Z. (2015). </w:t>
      </w:r>
      <w:r w:rsidRPr="00B1257B">
        <w:rPr>
          <w:i/>
          <w:color w:val="333333"/>
          <w:highlight w:val="white"/>
        </w:rPr>
        <w:t>Culturally Responsive Teaching and the Brain</w:t>
      </w:r>
      <w:r w:rsidRPr="00B1257B">
        <w:rPr>
          <w:color w:val="333333"/>
          <w:highlight w:val="white"/>
        </w:rPr>
        <w:t xml:space="preserve">. Corwin. </w:t>
      </w:r>
      <w:hyperlink r:id="rId23">
        <w:r w:rsidRPr="00B1257B">
          <w:rPr>
            <w:color w:val="1155CC"/>
            <w:highlight w:val="white"/>
            <w:u w:val="single"/>
          </w:rPr>
          <w:t>https://www.edutopia.org/article/can-teachers-be-warm-demanders-during-pandemic</w:t>
        </w:r>
      </w:hyperlink>
      <w:r w:rsidRPr="00B1257B">
        <w:rPr>
          <w:color w:val="333333"/>
          <w:highlight w:val="white"/>
        </w:rPr>
        <w:t>.</w:t>
      </w:r>
    </w:p>
    <w:p w14:paraId="7EAA161B" w14:textId="77777777" w:rsidR="00764FF2" w:rsidRPr="00B1257B" w:rsidRDefault="00245034">
      <w:pPr>
        <w:spacing w:after="240"/>
      </w:pPr>
      <w:r w:rsidRPr="00B1257B">
        <w:rPr>
          <w:color w:val="0E1634"/>
          <w:highlight w:val="white"/>
        </w:rPr>
        <w:lastRenderedPageBreak/>
        <w:t xml:space="preserve">Hammond, Z. (Summer 2021). </w:t>
      </w:r>
      <w:r w:rsidRPr="00B1257B">
        <w:t xml:space="preserve">Integrating the science of learning and culturally responsive practice. </w:t>
      </w:r>
      <w:r w:rsidRPr="00B1257B">
        <w:rPr>
          <w:i/>
        </w:rPr>
        <w:t xml:space="preserve">Liberatory Education. </w:t>
      </w:r>
      <w:r w:rsidRPr="00B1257B">
        <w:t xml:space="preserve">American Educator </w:t>
      </w:r>
      <w:hyperlink r:id="rId24">
        <w:r w:rsidRPr="00B1257B">
          <w:rPr>
            <w:color w:val="1155CC"/>
            <w:u w:val="single"/>
          </w:rPr>
          <w:t>https://www.aft.org/ae/summer2021/hammond</w:t>
        </w:r>
      </w:hyperlink>
      <w:r w:rsidRPr="00B1257B">
        <w:t>.</w:t>
      </w:r>
    </w:p>
    <w:p w14:paraId="5E1F0537" w14:textId="77777777" w:rsidR="00764FF2" w:rsidRPr="00B1257B" w:rsidRDefault="00245034">
      <w:pPr>
        <w:spacing w:after="240"/>
      </w:pPr>
      <w:proofErr w:type="spellStart"/>
      <w:r w:rsidRPr="00B1257B">
        <w:t>Triandis</w:t>
      </w:r>
      <w:proofErr w:type="spellEnd"/>
      <w:r w:rsidRPr="00B1257B">
        <w:t xml:space="preserve">, H. (1995) </w:t>
      </w:r>
      <w:r w:rsidRPr="00B1257B">
        <w:rPr>
          <w:i/>
        </w:rPr>
        <w:t>Individualism and Collectivism</w:t>
      </w:r>
      <w:r w:rsidRPr="00B1257B">
        <w:t xml:space="preserve">. Routledge. </w:t>
      </w:r>
    </w:p>
    <w:p w14:paraId="2FC2AB90" w14:textId="77777777" w:rsidR="00764FF2" w:rsidRDefault="00764FF2"/>
    <w:sectPr w:rsidR="00764FF2">
      <w:headerReference w:type="default" r:id="rId25"/>
      <w:footerReference w:type="default" r:id="rId26"/>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C0E19" w14:textId="77777777" w:rsidR="00925FF1" w:rsidRDefault="00925FF1">
      <w:pPr>
        <w:spacing w:line="240" w:lineRule="auto"/>
      </w:pPr>
      <w:r>
        <w:separator/>
      </w:r>
    </w:p>
  </w:endnote>
  <w:endnote w:type="continuationSeparator" w:id="0">
    <w:p w14:paraId="7F221CDE" w14:textId="77777777" w:rsidR="00925FF1" w:rsidRDefault="00925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A464" w14:textId="1046EF71" w:rsidR="00DD3524" w:rsidRDefault="00DD3524" w:rsidP="00DD3524">
    <w:pPr>
      <w:pStyle w:val="Footer"/>
      <w:jc w:val="right"/>
    </w:pPr>
    <w:r>
      <w:t>Last update: February 25,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08D3" w14:textId="77777777" w:rsidR="00925FF1" w:rsidRDefault="00925FF1">
      <w:pPr>
        <w:spacing w:line="240" w:lineRule="auto"/>
      </w:pPr>
      <w:r>
        <w:separator/>
      </w:r>
    </w:p>
  </w:footnote>
  <w:footnote w:type="continuationSeparator" w:id="0">
    <w:p w14:paraId="38E7BF03" w14:textId="77777777" w:rsidR="00925FF1" w:rsidRDefault="00925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FAC7" w14:textId="32AAD420" w:rsidR="00764FF2" w:rsidRDefault="00030512">
    <w:pPr>
      <w:jc w:val="right"/>
      <w:rPr>
        <w:sz w:val="20"/>
        <w:szCs w:val="20"/>
      </w:rPr>
    </w:pPr>
    <w:sdt>
      <w:sdtPr>
        <w:rPr>
          <w:sz w:val="20"/>
          <w:szCs w:val="20"/>
        </w:rPr>
        <w:id w:val="1713221811"/>
        <w:docPartObj>
          <w:docPartGallery w:val="Watermarks"/>
          <w:docPartUnique/>
        </w:docPartObj>
      </w:sdtPr>
      <w:sdtEndPr/>
      <w:sdtContent>
        <w:r>
          <w:rPr>
            <w:noProof/>
            <w:sz w:val="20"/>
            <w:szCs w:val="20"/>
          </w:rPr>
          <w:pict w14:anchorId="722D8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45034">
      <w:rPr>
        <w:sz w:val="20"/>
        <w:szCs w:val="20"/>
      </w:rPr>
      <w:t xml:space="preserve">Page </w:t>
    </w:r>
    <w:r w:rsidR="00245034">
      <w:rPr>
        <w:sz w:val="20"/>
        <w:szCs w:val="20"/>
      </w:rPr>
      <w:fldChar w:fldCharType="begin"/>
    </w:r>
    <w:r w:rsidR="00245034">
      <w:rPr>
        <w:sz w:val="20"/>
        <w:szCs w:val="20"/>
      </w:rPr>
      <w:instrText>PAGE</w:instrText>
    </w:r>
    <w:r w:rsidR="00245034">
      <w:rPr>
        <w:sz w:val="20"/>
        <w:szCs w:val="20"/>
      </w:rPr>
      <w:fldChar w:fldCharType="separate"/>
    </w:r>
    <w:r w:rsidR="00AE062F">
      <w:rPr>
        <w:noProof/>
        <w:sz w:val="20"/>
        <w:szCs w:val="20"/>
      </w:rPr>
      <w:t>5</w:t>
    </w:r>
    <w:r w:rsidR="00245034">
      <w:rPr>
        <w:sz w:val="20"/>
        <w:szCs w:val="20"/>
      </w:rPr>
      <w:fldChar w:fldCharType="end"/>
    </w:r>
    <w:r w:rsidR="006102A5">
      <w:rPr>
        <w:sz w:val="20"/>
        <w:szCs w:val="20"/>
      </w:rPr>
      <w:t xml:space="preserve"> of </w:t>
    </w:r>
    <w:r>
      <w:rPr>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7CF"/>
    <w:multiLevelType w:val="multilevel"/>
    <w:tmpl w:val="6CAC7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581DC5"/>
    <w:multiLevelType w:val="multilevel"/>
    <w:tmpl w:val="8E84E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256B3"/>
    <w:multiLevelType w:val="multilevel"/>
    <w:tmpl w:val="AA9A5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BA06F9"/>
    <w:multiLevelType w:val="multilevel"/>
    <w:tmpl w:val="8042F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9E04A7"/>
    <w:multiLevelType w:val="multilevel"/>
    <w:tmpl w:val="619AB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B24605"/>
    <w:multiLevelType w:val="multilevel"/>
    <w:tmpl w:val="D4C65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F17FD2"/>
    <w:multiLevelType w:val="multilevel"/>
    <w:tmpl w:val="C666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0C7EA9"/>
    <w:multiLevelType w:val="multilevel"/>
    <w:tmpl w:val="CA26A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BD676D"/>
    <w:multiLevelType w:val="multilevel"/>
    <w:tmpl w:val="23DC0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C71659"/>
    <w:multiLevelType w:val="multilevel"/>
    <w:tmpl w:val="21CE3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D70117"/>
    <w:multiLevelType w:val="multilevel"/>
    <w:tmpl w:val="ED50A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604729"/>
    <w:multiLevelType w:val="multilevel"/>
    <w:tmpl w:val="4C70F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5C048F"/>
    <w:multiLevelType w:val="multilevel"/>
    <w:tmpl w:val="293A1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647E10"/>
    <w:multiLevelType w:val="multilevel"/>
    <w:tmpl w:val="EB8290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96F1585"/>
    <w:multiLevelType w:val="multilevel"/>
    <w:tmpl w:val="9404F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016F73"/>
    <w:multiLevelType w:val="multilevel"/>
    <w:tmpl w:val="9C4C8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120C6A"/>
    <w:multiLevelType w:val="multilevel"/>
    <w:tmpl w:val="051E9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E72449"/>
    <w:multiLevelType w:val="hybridMultilevel"/>
    <w:tmpl w:val="68EA43A0"/>
    <w:lvl w:ilvl="0" w:tplc="9D0C7384">
      <w:start w:val="1"/>
      <w:numFmt w:val="bullet"/>
      <w:lvlText w:val="●"/>
      <w:lvlJc w:val="left"/>
      <w:pPr>
        <w:tabs>
          <w:tab w:val="num" w:pos="720"/>
        </w:tabs>
        <w:ind w:left="720" w:hanging="360"/>
      </w:pPr>
      <w:rPr>
        <w:rFonts w:ascii="Arial" w:hAnsi="Arial" w:hint="default"/>
      </w:rPr>
    </w:lvl>
    <w:lvl w:ilvl="1" w:tplc="16ECADCC" w:tentative="1">
      <w:start w:val="1"/>
      <w:numFmt w:val="bullet"/>
      <w:lvlText w:val="●"/>
      <w:lvlJc w:val="left"/>
      <w:pPr>
        <w:tabs>
          <w:tab w:val="num" w:pos="1440"/>
        </w:tabs>
        <w:ind w:left="1440" w:hanging="360"/>
      </w:pPr>
      <w:rPr>
        <w:rFonts w:ascii="Arial" w:hAnsi="Arial" w:hint="default"/>
      </w:rPr>
    </w:lvl>
    <w:lvl w:ilvl="2" w:tplc="168089E2" w:tentative="1">
      <w:start w:val="1"/>
      <w:numFmt w:val="bullet"/>
      <w:lvlText w:val="●"/>
      <w:lvlJc w:val="left"/>
      <w:pPr>
        <w:tabs>
          <w:tab w:val="num" w:pos="2160"/>
        </w:tabs>
        <w:ind w:left="2160" w:hanging="360"/>
      </w:pPr>
      <w:rPr>
        <w:rFonts w:ascii="Arial" w:hAnsi="Arial" w:hint="default"/>
      </w:rPr>
    </w:lvl>
    <w:lvl w:ilvl="3" w:tplc="41A6E030" w:tentative="1">
      <w:start w:val="1"/>
      <w:numFmt w:val="bullet"/>
      <w:lvlText w:val="●"/>
      <w:lvlJc w:val="left"/>
      <w:pPr>
        <w:tabs>
          <w:tab w:val="num" w:pos="2880"/>
        </w:tabs>
        <w:ind w:left="2880" w:hanging="360"/>
      </w:pPr>
      <w:rPr>
        <w:rFonts w:ascii="Arial" w:hAnsi="Arial" w:hint="default"/>
      </w:rPr>
    </w:lvl>
    <w:lvl w:ilvl="4" w:tplc="3C74AD52" w:tentative="1">
      <w:start w:val="1"/>
      <w:numFmt w:val="bullet"/>
      <w:lvlText w:val="●"/>
      <w:lvlJc w:val="left"/>
      <w:pPr>
        <w:tabs>
          <w:tab w:val="num" w:pos="3600"/>
        </w:tabs>
        <w:ind w:left="3600" w:hanging="360"/>
      </w:pPr>
      <w:rPr>
        <w:rFonts w:ascii="Arial" w:hAnsi="Arial" w:hint="default"/>
      </w:rPr>
    </w:lvl>
    <w:lvl w:ilvl="5" w:tplc="A1B6470C" w:tentative="1">
      <w:start w:val="1"/>
      <w:numFmt w:val="bullet"/>
      <w:lvlText w:val="●"/>
      <w:lvlJc w:val="left"/>
      <w:pPr>
        <w:tabs>
          <w:tab w:val="num" w:pos="4320"/>
        </w:tabs>
        <w:ind w:left="4320" w:hanging="360"/>
      </w:pPr>
      <w:rPr>
        <w:rFonts w:ascii="Arial" w:hAnsi="Arial" w:hint="default"/>
      </w:rPr>
    </w:lvl>
    <w:lvl w:ilvl="6" w:tplc="F2A40CC0" w:tentative="1">
      <w:start w:val="1"/>
      <w:numFmt w:val="bullet"/>
      <w:lvlText w:val="●"/>
      <w:lvlJc w:val="left"/>
      <w:pPr>
        <w:tabs>
          <w:tab w:val="num" w:pos="5040"/>
        </w:tabs>
        <w:ind w:left="5040" w:hanging="360"/>
      </w:pPr>
      <w:rPr>
        <w:rFonts w:ascii="Arial" w:hAnsi="Arial" w:hint="default"/>
      </w:rPr>
    </w:lvl>
    <w:lvl w:ilvl="7" w:tplc="A2728E08" w:tentative="1">
      <w:start w:val="1"/>
      <w:numFmt w:val="bullet"/>
      <w:lvlText w:val="●"/>
      <w:lvlJc w:val="left"/>
      <w:pPr>
        <w:tabs>
          <w:tab w:val="num" w:pos="5760"/>
        </w:tabs>
        <w:ind w:left="5760" w:hanging="360"/>
      </w:pPr>
      <w:rPr>
        <w:rFonts w:ascii="Arial" w:hAnsi="Arial" w:hint="default"/>
      </w:rPr>
    </w:lvl>
    <w:lvl w:ilvl="8" w:tplc="6EE272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1824B4"/>
    <w:multiLevelType w:val="multilevel"/>
    <w:tmpl w:val="B2C85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6906D8"/>
    <w:multiLevelType w:val="multilevel"/>
    <w:tmpl w:val="63C84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E3456B5"/>
    <w:multiLevelType w:val="multilevel"/>
    <w:tmpl w:val="40BE3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3"/>
  </w:num>
  <w:num w:numId="3">
    <w:abstractNumId w:val="10"/>
  </w:num>
  <w:num w:numId="4">
    <w:abstractNumId w:val="1"/>
  </w:num>
  <w:num w:numId="5">
    <w:abstractNumId w:val="7"/>
  </w:num>
  <w:num w:numId="6">
    <w:abstractNumId w:val="20"/>
  </w:num>
  <w:num w:numId="7">
    <w:abstractNumId w:val="5"/>
  </w:num>
  <w:num w:numId="8">
    <w:abstractNumId w:val="9"/>
  </w:num>
  <w:num w:numId="9">
    <w:abstractNumId w:val="8"/>
  </w:num>
  <w:num w:numId="10">
    <w:abstractNumId w:val="19"/>
  </w:num>
  <w:num w:numId="11">
    <w:abstractNumId w:val="6"/>
  </w:num>
  <w:num w:numId="12">
    <w:abstractNumId w:val="15"/>
  </w:num>
  <w:num w:numId="13">
    <w:abstractNumId w:val="16"/>
  </w:num>
  <w:num w:numId="14">
    <w:abstractNumId w:val="18"/>
  </w:num>
  <w:num w:numId="15">
    <w:abstractNumId w:val="0"/>
  </w:num>
  <w:num w:numId="16">
    <w:abstractNumId w:val="11"/>
  </w:num>
  <w:num w:numId="17">
    <w:abstractNumId w:val="14"/>
  </w:num>
  <w:num w:numId="18">
    <w:abstractNumId w:val="12"/>
  </w:num>
  <w:num w:numId="19">
    <w:abstractNumId w:val="2"/>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F2"/>
    <w:rsid w:val="0001091A"/>
    <w:rsid w:val="0002164C"/>
    <w:rsid w:val="00030512"/>
    <w:rsid w:val="000308AC"/>
    <w:rsid w:val="00072F90"/>
    <w:rsid w:val="00082769"/>
    <w:rsid w:val="000F746A"/>
    <w:rsid w:val="00144DBC"/>
    <w:rsid w:val="00180ADA"/>
    <w:rsid w:val="001B6F6B"/>
    <w:rsid w:val="001C31F7"/>
    <w:rsid w:val="00213D2C"/>
    <w:rsid w:val="00245034"/>
    <w:rsid w:val="002C73A3"/>
    <w:rsid w:val="002D1570"/>
    <w:rsid w:val="002D4695"/>
    <w:rsid w:val="0033011F"/>
    <w:rsid w:val="00352B72"/>
    <w:rsid w:val="00354042"/>
    <w:rsid w:val="00362827"/>
    <w:rsid w:val="003F73C9"/>
    <w:rsid w:val="00417712"/>
    <w:rsid w:val="00431B2C"/>
    <w:rsid w:val="00455A41"/>
    <w:rsid w:val="00476C84"/>
    <w:rsid w:val="00510826"/>
    <w:rsid w:val="00514511"/>
    <w:rsid w:val="005163F7"/>
    <w:rsid w:val="00531920"/>
    <w:rsid w:val="00557FF7"/>
    <w:rsid w:val="00591A13"/>
    <w:rsid w:val="00591D94"/>
    <w:rsid w:val="005A2BC1"/>
    <w:rsid w:val="005D2555"/>
    <w:rsid w:val="005E698B"/>
    <w:rsid w:val="006102A5"/>
    <w:rsid w:val="006310F2"/>
    <w:rsid w:val="00656710"/>
    <w:rsid w:val="00680727"/>
    <w:rsid w:val="006A264A"/>
    <w:rsid w:val="006A3535"/>
    <w:rsid w:val="006B073F"/>
    <w:rsid w:val="00720BE6"/>
    <w:rsid w:val="00735D30"/>
    <w:rsid w:val="00764FF2"/>
    <w:rsid w:val="007C4003"/>
    <w:rsid w:val="008214EA"/>
    <w:rsid w:val="008227C5"/>
    <w:rsid w:val="00865993"/>
    <w:rsid w:val="008B041E"/>
    <w:rsid w:val="008C3448"/>
    <w:rsid w:val="008C7EF8"/>
    <w:rsid w:val="008F31BF"/>
    <w:rsid w:val="009032A1"/>
    <w:rsid w:val="00925FF1"/>
    <w:rsid w:val="00963739"/>
    <w:rsid w:val="009B5622"/>
    <w:rsid w:val="009D3405"/>
    <w:rsid w:val="009E1C3B"/>
    <w:rsid w:val="00A11B5F"/>
    <w:rsid w:val="00A2255D"/>
    <w:rsid w:val="00A71017"/>
    <w:rsid w:val="00A76F7A"/>
    <w:rsid w:val="00A90E85"/>
    <w:rsid w:val="00AE062F"/>
    <w:rsid w:val="00B1257B"/>
    <w:rsid w:val="00B7263B"/>
    <w:rsid w:val="00BC1EDB"/>
    <w:rsid w:val="00BC6CA2"/>
    <w:rsid w:val="00C0462E"/>
    <w:rsid w:val="00C16599"/>
    <w:rsid w:val="00D001CA"/>
    <w:rsid w:val="00D00BD1"/>
    <w:rsid w:val="00D052F1"/>
    <w:rsid w:val="00D40167"/>
    <w:rsid w:val="00D7084D"/>
    <w:rsid w:val="00DC7C28"/>
    <w:rsid w:val="00DD3524"/>
    <w:rsid w:val="00E50659"/>
    <w:rsid w:val="00E53933"/>
    <w:rsid w:val="00E71AFD"/>
    <w:rsid w:val="00E96946"/>
    <w:rsid w:val="00EB6C5A"/>
    <w:rsid w:val="00EC2D8E"/>
    <w:rsid w:val="00EC2E90"/>
    <w:rsid w:val="00EC4AD6"/>
    <w:rsid w:val="00EE7D38"/>
    <w:rsid w:val="00F365B8"/>
    <w:rsid w:val="00F379FC"/>
    <w:rsid w:val="00F419DA"/>
    <w:rsid w:val="00F72E4C"/>
    <w:rsid w:val="00F8326A"/>
    <w:rsid w:val="00F9455B"/>
    <w:rsid w:val="00FB4FD4"/>
    <w:rsid w:val="00FC2864"/>
    <w:rsid w:val="00FD207C"/>
    <w:rsid w:val="00FD31A5"/>
    <w:rsid w:val="00FE0507"/>
    <w:rsid w:val="00FE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EED15"/>
  <w15:docId w15:val="{514132E0-0C2C-43A3-A063-6EBC85AE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B6C5A"/>
    <w:pPr>
      <w:tabs>
        <w:tab w:val="center" w:pos="4680"/>
        <w:tab w:val="right" w:pos="9360"/>
      </w:tabs>
      <w:spacing w:line="240" w:lineRule="auto"/>
    </w:pPr>
  </w:style>
  <w:style w:type="character" w:customStyle="1" w:styleId="HeaderChar">
    <w:name w:val="Header Char"/>
    <w:basedOn w:val="DefaultParagraphFont"/>
    <w:link w:val="Header"/>
    <w:uiPriority w:val="99"/>
    <w:rsid w:val="00EB6C5A"/>
  </w:style>
  <w:style w:type="paragraph" w:styleId="Footer">
    <w:name w:val="footer"/>
    <w:basedOn w:val="Normal"/>
    <w:link w:val="FooterChar"/>
    <w:uiPriority w:val="99"/>
    <w:unhideWhenUsed/>
    <w:rsid w:val="00EB6C5A"/>
    <w:pPr>
      <w:tabs>
        <w:tab w:val="center" w:pos="4680"/>
        <w:tab w:val="right" w:pos="9360"/>
      </w:tabs>
      <w:spacing w:line="240" w:lineRule="auto"/>
    </w:pPr>
  </w:style>
  <w:style w:type="character" w:customStyle="1" w:styleId="FooterChar">
    <w:name w:val="Footer Char"/>
    <w:basedOn w:val="DefaultParagraphFont"/>
    <w:link w:val="Footer"/>
    <w:uiPriority w:val="99"/>
    <w:rsid w:val="00EB6C5A"/>
  </w:style>
  <w:style w:type="paragraph" w:styleId="Revision">
    <w:name w:val="Revision"/>
    <w:hidden/>
    <w:uiPriority w:val="99"/>
    <w:semiHidden/>
    <w:rsid w:val="00735D30"/>
    <w:pPr>
      <w:spacing w:line="240" w:lineRule="auto"/>
    </w:pPr>
  </w:style>
  <w:style w:type="paragraph" w:styleId="CommentSubject">
    <w:name w:val="annotation subject"/>
    <w:basedOn w:val="CommentText"/>
    <w:next w:val="CommentText"/>
    <w:link w:val="CommentSubjectChar"/>
    <w:uiPriority w:val="99"/>
    <w:semiHidden/>
    <w:unhideWhenUsed/>
    <w:rsid w:val="00735D30"/>
    <w:rPr>
      <w:b/>
      <w:bCs/>
    </w:rPr>
  </w:style>
  <w:style w:type="character" w:customStyle="1" w:styleId="CommentSubjectChar">
    <w:name w:val="Comment Subject Char"/>
    <w:basedOn w:val="CommentTextChar"/>
    <w:link w:val="CommentSubject"/>
    <w:uiPriority w:val="99"/>
    <w:semiHidden/>
    <w:rsid w:val="00735D30"/>
    <w:rPr>
      <w:b/>
      <w:bCs/>
      <w:sz w:val="20"/>
      <w:szCs w:val="20"/>
    </w:rPr>
  </w:style>
  <w:style w:type="character" w:styleId="Hyperlink">
    <w:name w:val="Hyperlink"/>
    <w:basedOn w:val="DefaultParagraphFont"/>
    <w:uiPriority w:val="99"/>
    <w:unhideWhenUsed/>
    <w:rsid w:val="00362827"/>
    <w:rPr>
      <w:color w:val="0000FF" w:themeColor="hyperlink"/>
      <w:u w:val="single"/>
    </w:rPr>
  </w:style>
  <w:style w:type="character" w:customStyle="1" w:styleId="UnresolvedMention1">
    <w:name w:val="Unresolved Mention1"/>
    <w:basedOn w:val="DefaultParagraphFont"/>
    <w:uiPriority w:val="99"/>
    <w:semiHidden/>
    <w:unhideWhenUsed/>
    <w:rsid w:val="00362827"/>
    <w:rPr>
      <w:color w:val="605E5C"/>
      <w:shd w:val="clear" w:color="auto" w:fill="E1DFDD"/>
    </w:rPr>
  </w:style>
  <w:style w:type="paragraph" w:styleId="BalloonText">
    <w:name w:val="Balloon Text"/>
    <w:basedOn w:val="Normal"/>
    <w:link w:val="BalloonTextChar"/>
    <w:uiPriority w:val="99"/>
    <w:semiHidden/>
    <w:unhideWhenUsed/>
    <w:rsid w:val="00455A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41"/>
    <w:rPr>
      <w:rFonts w:ascii="Segoe UI" w:hAnsi="Segoe UI" w:cs="Segoe UI"/>
      <w:sz w:val="18"/>
      <w:szCs w:val="18"/>
    </w:rPr>
  </w:style>
  <w:style w:type="paragraph" w:styleId="ListParagraph">
    <w:name w:val="List Paragraph"/>
    <w:basedOn w:val="Normal"/>
    <w:uiPriority w:val="34"/>
    <w:qFormat/>
    <w:rsid w:val="002D4695"/>
    <w:pPr>
      <w:spacing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26887">
      <w:bodyDiv w:val="1"/>
      <w:marLeft w:val="0"/>
      <w:marRight w:val="0"/>
      <w:marTop w:val="0"/>
      <w:marBottom w:val="0"/>
      <w:divBdr>
        <w:top w:val="none" w:sz="0" w:space="0" w:color="auto"/>
        <w:left w:val="none" w:sz="0" w:space="0" w:color="auto"/>
        <w:bottom w:val="none" w:sz="0" w:space="0" w:color="auto"/>
        <w:right w:val="none" w:sz="0" w:space="0" w:color="auto"/>
      </w:divBdr>
    </w:div>
    <w:div w:id="1139498773">
      <w:bodyDiv w:val="1"/>
      <w:marLeft w:val="0"/>
      <w:marRight w:val="0"/>
      <w:marTop w:val="0"/>
      <w:marBottom w:val="0"/>
      <w:divBdr>
        <w:top w:val="none" w:sz="0" w:space="0" w:color="auto"/>
        <w:left w:val="none" w:sz="0" w:space="0" w:color="auto"/>
        <w:bottom w:val="none" w:sz="0" w:space="0" w:color="auto"/>
        <w:right w:val="none" w:sz="0" w:space="0" w:color="auto"/>
      </w:divBdr>
      <w:divsChild>
        <w:div w:id="1905412705">
          <w:marLeft w:val="720"/>
          <w:marRight w:val="0"/>
          <w:marTop w:val="0"/>
          <w:marBottom w:val="0"/>
          <w:divBdr>
            <w:top w:val="none" w:sz="0" w:space="0" w:color="auto"/>
            <w:left w:val="none" w:sz="0" w:space="0" w:color="auto"/>
            <w:bottom w:val="none" w:sz="0" w:space="0" w:color="auto"/>
            <w:right w:val="none" w:sz="0" w:space="0" w:color="auto"/>
          </w:divBdr>
        </w:div>
        <w:div w:id="1577278401">
          <w:marLeft w:val="720"/>
          <w:marRight w:val="0"/>
          <w:marTop w:val="0"/>
          <w:marBottom w:val="0"/>
          <w:divBdr>
            <w:top w:val="none" w:sz="0" w:space="0" w:color="auto"/>
            <w:left w:val="none" w:sz="0" w:space="0" w:color="auto"/>
            <w:bottom w:val="none" w:sz="0" w:space="0" w:color="auto"/>
            <w:right w:val="none" w:sz="0" w:space="0" w:color="auto"/>
          </w:divBdr>
        </w:div>
        <w:div w:id="191723329">
          <w:marLeft w:val="720"/>
          <w:marRight w:val="0"/>
          <w:marTop w:val="0"/>
          <w:marBottom w:val="0"/>
          <w:divBdr>
            <w:top w:val="none" w:sz="0" w:space="0" w:color="auto"/>
            <w:left w:val="none" w:sz="0" w:space="0" w:color="auto"/>
            <w:bottom w:val="none" w:sz="0" w:space="0" w:color="auto"/>
            <w:right w:val="none" w:sz="0" w:space="0" w:color="auto"/>
          </w:divBdr>
        </w:div>
        <w:div w:id="1506363636">
          <w:marLeft w:val="720"/>
          <w:marRight w:val="0"/>
          <w:marTop w:val="0"/>
          <w:marBottom w:val="0"/>
          <w:divBdr>
            <w:top w:val="none" w:sz="0" w:space="0" w:color="auto"/>
            <w:left w:val="none" w:sz="0" w:space="0" w:color="auto"/>
            <w:bottom w:val="none" w:sz="0" w:space="0" w:color="auto"/>
            <w:right w:val="none" w:sz="0" w:space="0" w:color="auto"/>
          </w:divBdr>
        </w:div>
      </w:divsChild>
    </w:div>
    <w:div w:id="1160924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tic1.squarespace.com/static/5eb5c03682a92c5f96da4fc8/t/5f3a1ad2dd13385c2b4e76bd/1597643493581/Syllabus+Review_Summer2020.pdf" TargetMode="External"/><Relationship Id="rId18" Type="http://schemas.openxmlformats.org/officeDocument/2006/relationships/hyperlink" Target="https://www.edglossary.org/academic-suppor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ytimes.com/article/what-is-critical-race-theory.html" TargetMode="External"/><Relationship Id="rId7" Type="http://schemas.openxmlformats.org/officeDocument/2006/relationships/webSettings" Target="webSettings.xml"/><Relationship Id="rId12" Type="http://schemas.openxmlformats.org/officeDocument/2006/relationships/hyperlink" Target="https://asccc.org/content/moving-needle-equity-cultural-responsiveness-and-anti-racism-course-outline-record" TargetMode="External"/><Relationship Id="rId17" Type="http://schemas.openxmlformats.org/officeDocument/2006/relationships/hyperlink" Target="https://www.edglossary.org/learning-experien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dglossary.org/learning-experience/" TargetMode="External"/><Relationship Id="rId20" Type="http://schemas.openxmlformats.org/officeDocument/2006/relationships/hyperlink" Target="https://www.cccco.edu/-/media/CCCCO-Website/Files/Communications/vision-for-success/8-dei-glossary-of-terms.pdf?la=en&amp;hash=21FCA99EAE353E6F481025115DC98272EAA36BA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ccc.org/content/moving-needle-equity-cultural-responsiveness-and-anti-racism-course-outline-record" TargetMode="External"/><Relationship Id="rId24" Type="http://schemas.openxmlformats.org/officeDocument/2006/relationships/hyperlink" Target="https://www.aft.org/ae/summer2021/hammond" TargetMode="External"/><Relationship Id="rId5" Type="http://schemas.openxmlformats.org/officeDocument/2006/relationships/styles" Target="styles.xml"/><Relationship Id="rId15" Type="http://schemas.openxmlformats.org/officeDocument/2006/relationships/hyperlink" Target="https://www.cccco.edu/-/media/CCCCO-Website/Files/Communications/vision-for-success/8-dei-glossary-of-terms.pdf?la=en&amp;hash=21FCA99EAE353E6F481025115DC98272EAA36BA9" TargetMode="External"/><Relationship Id="rId23" Type="http://schemas.openxmlformats.org/officeDocument/2006/relationships/hyperlink" Target="https://www.edutopia.org/article/can-teachers-be-warm-demanders-during-pandemic" TargetMode="External"/><Relationship Id="rId28" Type="http://schemas.openxmlformats.org/officeDocument/2006/relationships/theme" Target="theme/theme1.xml"/><Relationship Id="rId10" Type="http://schemas.openxmlformats.org/officeDocument/2006/relationships/hyperlink" Target="https://asccc-oeri.org/asccc-oeri-inclusion-diversity-equity-and-anti-racism-idea-audit-framework/" TargetMode="External"/><Relationship Id="rId19" Type="http://schemas.openxmlformats.org/officeDocument/2006/relationships/hyperlink" Target="https://www.edglossary.org/academic-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llegetransitioncollaborative.org/" TargetMode="External"/><Relationship Id="rId22" Type="http://schemas.openxmlformats.org/officeDocument/2006/relationships/hyperlink" Target="https://openstax.org/books/introduction-sociology-2e/pages/16-2-theoretical-perspectives-on-education?query=individualism&amp;target=%7B%22type%22%3A%22search%22%2C%22index%22%3A0%7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A0B729735B142A81FD78642AC2CF3" ma:contentTypeVersion="13" ma:contentTypeDescription="Create a new document." ma:contentTypeScope="" ma:versionID="365985b239e20d4ae635f3e7f6c81dfd">
  <xsd:schema xmlns:xsd="http://www.w3.org/2001/XMLSchema" xmlns:xs="http://www.w3.org/2001/XMLSchema" xmlns:p="http://schemas.microsoft.com/office/2006/metadata/properties" xmlns:ns3="8cd75336-2b74-4169-98ef-33b04517f471" xmlns:ns4="d3b0fb42-fc0c-45a7-83ff-8e8c81895f01" targetNamespace="http://schemas.microsoft.com/office/2006/metadata/properties" ma:root="true" ma:fieldsID="b740ea4c1ee1c46d2845db4dcc8dcce2" ns3:_="" ns4:_="">
    <xsd:import namespace="8cd75336-2b74-4169-98ef-33b04517f471"/>
    <xsd:import namespace="d3b0fb42-fc0c-45a7-83ff-8e8c81895f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75336-2b74-4169-98ef-33b04517f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0fb42-fc0c-45a7-83ff-8e8c81895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98DAB-822C-49D5-AF42-01AFEB89DB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DF3B25-CAE0-4D7E-93DF-CB48E4AC10BE}">
  <ds:schemaRefs>
    <ds:schemaRef ds:uri="http://schemas.microsoft.com/sharepoint/v3/contenttype/forms"/>
  </ds:schemaRefs>
</ds:datastoreItem>
</file>

<file path=customXml/itemProps3.xml><?xml version="1.0" encoding="utf-8"?>
<ds:datastoreItem xmlns:ds="http://schemas.openxmlformats.org/officeDocument/2006/customXml" ds:itemID="{81057A9E-5E05-4931-AC87-29F6C7AC7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75336-2b74-4169-98ef-33b04517f471"/>
    <ds:schemaRef ds:uri="d3b0fb42-fc0c-45a7-83ff-8e8c81895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Bean</dc:creator>
  <cp:lastModifiedBy>Michelle Bean</cp:lastModifiedBy>
  <cp:revision>3</cp:revision>
  <dcterms:created xsi:type="dcterms:W3CDTF">2022-03-05T18:00:00Z</dcterms:created>
  <dcterms:modified xsi:type="dcterms:W3CDTF">2022-03-05T18:01:00Z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0x01010003BA0B729735B142A81FD78642AC2CF3</vt:lpwstr>
  </property>
</Properties>
</file>